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BA82">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16</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highlight w:val="none"/>
        </w:rPr>
        <w:t>R4-2</w:t>
      </w:r>
      <w:bookmarkEnd w:id="0"/>
      <w:r>
        <w:rPr>
          <w:rFonts w:hint="eastAsia" w:ascii="Arial" w:hAnsi="Arial" w:eastAsia="宋体" w:cs="Arial"/>
          <w:b/>
          <w:bCs/>
          <w:highlight w:val="none"/>
          <w:lang w:val="en-US" w:eastAsia="zh-CN"/>
        </w:rPr>
        <w:t>510013</w:t>
      </w:r>
      <w:bookmarkStart w:id="8" w:name="_GoBack"/>
      <w:bookmarkEnd w:id="8"/>
    </w:p>
    <w:p w14:paraId="56AD8E7D">
      <w:pPr>
        <w:pStyle w:val="19"/>
        <w:tabs>
          <w:tab w:val="right" w:pos="9781"/>
          <w:tab w:val="right" w:pos="13323"/>
          <w:tab w:val="clear" w:pos="4153"/>
          <w:tab w:val="clear" w:pos="8306"/>
        </w:tabs>
        <w:spacing w:before="60" w:after="60"/>
        <w:outlineLvl w:val="0"/>
        <w:rPr>
          <w:rFonts w:hint="default" w:ascii="Arial" w:hAnsi="Arial" w:cs="Arial"/>
          <w:b/>
          <w:bCs/>
          <w:highlight w:val="yellow"/>
          <w:lang w:val="en-US"/>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5630C136">
      <w:pPr>
        <w:tabs>
          <w:tab w:val="left" w:pos="1985"/>
        </w:tabs>
        <w:rPr>
          <w:b/>
          <w:sz w:val="22"/>
        </w:rPr>
      </w:pPr>
    </w:p>
    <w:p w14:paraId="0CAD1750">
      <w:pPr>
        <w:pBdr>
          <w:top w:val="none" w:color="auto" w:sz="0" w:space="0"/>
          <w:left w:val="none" w:color="auto" w:sz="0" w:space="0"/>
          <w:bottom w:val="none" w:color="auto" w:sz="0" w:space="0"/>
          <w:right w:val="none" w:color="auto" w:sz="0" w:space="0"/>
        </w:pBd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5.5.2</w:t>
      </w:r>
    </w:p>
    <w:p w14:paraId="33D50F73">
      <w:pPr>
        <w:pBdr>
          <w:top w:val="none" w:color="auto" w:sz="0" w:space="0"/>
          <w:left w:val="none" w:color="auto" w:sz="0" w:space="0"/>
          <w:bottom w:val="none" w:color="auto" w:sz="0" w:space="0"/>
          <w:right w:val="none" w:color="auto" w:sz="0" w:space="0"/>
        </w:pBdr>
        <w:tabs>
          <w:tab w:val="left" w:pos="1765"/>
        </w:tabs>
        <w:rPr>
          <w:sz w:val="22"/>
        </w:rPr>
      </w:pPr>
      <w:r>
        <w:rPr>
          <w:b/>
          <w:sz w:val="22"/>
        </w:rPr>
        <w:t xml:space="preserve">Source: </w:t>
      </w:r>
      <w:r>
        <w:rPr>
          <w:b/>
          <w:sz w:val="22"/>
        </w:rPr>
        <w:tab/>
      </w:r>
      <w:bookmarkStart w:id="1" w:name="_Hlk41145958"/>
      <w:r>
        <w:rPr>
          <w:sz w:val="22"/>
        </w:rPr>
        <w:t>CMCC</w:t>
      </w:r>
      <w:bookmarkEnd w:id="1"/>
    </w:p>
    <w:p w14:paraId="34F69D90">
      <w:pPr>
        <w:pBdr>
          <w:top w:val="none" w:color="auto" w:sz="0" w:space="0"/>
          <w:left w:val="none" w:color="auto" w:sz="0" w:space="0"/>
          <w:bottom w:val="none" w:color="auto" w:sz="0" w:space="0"/>
          <w:right w:val="none" w:color="auto" w:sz="0" w:space="0"/>
        </w:pBdr>
        <w:rPr>
          <w:sz w:val="22"/>
        </w:rPr>
      </w:pPr>
      <w:r>
        <w:rPr>
          <w:b/>
          <w:sz w:val="22"/>
        </w:rPr>
        <w:t>Title:</w:t>
      </w:r>
      <w:bookmarkStart w:id="2" w:name="_Hlk41145953"/>
      <w:bookmarkStart w:id="3" w:name="OLE_LINK7"/>
      <w:bookmarkStart w:id="4" w:name="OLE_LINK8"/>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 xml:space="preserve"> </w:t>
      </w:r>
      <w:r>
        <w:rPr>
          <w:rFonts w:hint="eastAsia" w:eastAsia="宋体"/>
          <w:sz w:val="22"/>
          <w:lang w:val="en-US" w:eastAsia="zh-CN"/>
        </w:rPr>
        <w:t xml:space="preserve"> </w:t>
      </w:r>
      <w:bookmarkEnd w:id="2"/>
      <w:r>
        <w:rPr>
          <w:rFonts w:hint="eastAsia" w:eastAsia="宋体"/>
          <w:sz w:val="22"/>
          <w:lang w:val="en-US" w:eastAsia="zh-CN"/>
        </w:rPr>
        <w:t>Discussion on Sharing factor between L1 measurement and RRM measurement for R18 ATG maintenance</w:t>
      </w:r>
    </w:p>
    <w:bookmarkEnd w:id="3"/>
    <w:bookmarkEnd w:id="4"/>
    <w:p w14:paraId="27183865">
      <w:pPr>
        <w:pBdr>
          <w:top w:val="none" w:color="auto" w:sz="0" w:space="0"/>
          <w:left w:val="none" w:color="auto" w:sz="0" w:space="0"/>
          <w:bottom w:val="none" w:color="auto" w:sz="0" w:space="0"/>
          <w:right w:val="none" w:color="auto" w:sz="0" w:space="0"/>
        </w:pBdr>
        <w:tabs>
          <w:tab w:val="left" w:pos="1765"/>
        </w:tabs>
        <w:rPr>
          <w:sz w:val="22"/>
        </w:rPr>
      </w:pPr>
      <w:r>
        <w:rPr>
          <w:b/>
          <w:sz w:val="22"/>
        </w:rPr>
        <w:t>Document for:</w:t>
      </w:r>
      <w:r>
        <w:rPr>
          <w:b/>
          <w:sz w:val="22"/>
        </w:rPr>
        <w:tab/>
      </w:r>
      <w:r>
        <w:rPr>
          <w:sz w:val="22"/>
        </w:rPr>
        <w:t>Discussion</w:t>
      </w:r>
    </w:p>
    <w:p w14:paraId="5E3A9E2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14:paraId="06990447">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During the R19 ATG discussion, an issue of </w:t>
      </w:r>
      <w:r>
        <w:rPr>
          <w:rFonts w:hint="default" w:eastAsia="等线"/>
          <w:sz w:val="20"/>
          <w:szCs w:val="20"/>
          <w:lang w:val="en-US" w:eastAsia="zh-CN"/>
        </w:rPr>
        <w:t>‘</w:t>
      </w:r>
      <w:r>
        <w:rPr>
          <w:rFonts w:hint="eastAsia" w:eastAsia="等线"/>
          <w:sz w:val="20"/>
          <w:szCs w:val="20"/>
          <w:lang w:val="en-US" w:eastAsia="zh-CN"/>
        </w:rPr>
        <w:t>effective non-overlapping duration of Sharing factor between L1 measurement and RRM measurement</w:t>
      </w:r>
      <w:r>
        <w:rPr>
          <w:rFonts w:hint="default" w:eastAsia="等线"/>
          <w:sz w:val="20"/>
          <w:szCs w:val="20"/>
          <w:lang w:val="en-US" w:eastAsia="zh-CN"/>
        </w:rPr>
        <w:t>’</w:t>
      </w:r>
      <w:r>
        <w:rPr>
          <w:rFonts w:hint="eastAsia" w:eastAsia="等线"/>
          <w:sz w:val="20"/>
          <w:szCs w:val="20"/>
          <w:lang w:val="en-US" w:eastAsia="zh-CN"/>
        </w:rPr>
        <w:t xml:space="preserve"> came into our sight [1]. The progress is as below:</w:t>
      </w:r>
    </w:p>
    <w:p w14:paraId="1CB34C6F">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ko-KR"/>
        </w:rPr>
      </w:pPr>
      <w:r>
        <w:rPr>
          <w:rFonts w:hint="eastAsia" w:ascii="Times New Roman" w:hAnsi="Times New Roman" w:cs="Times New Roman"/>
          <w:b/>
          <w:i/>
          <w:iCs/>
          <w:color w:val="auto"/>
          <w:sz w:val="20"/>
          <w:szCs w:val="20"/>
          <w:u w:val="single"/>
          <w:lang w:val="en-US" w:eastAsia="zh-CN"/>
        </w:rPr>
        <w:t>Issue 1-3-2: Sharing factor between L1 measurement and RRM measurement - effective non-overlapping duration</w:t>
      </w:r>
    </w:p>
    <w:p w14:paraId="795DD744">
      <w:pPr>
        <w:snapToGrid w:val="0"/>
        <w:spacing w:after="120"/>
        <w:rPr>
          <w:rFonts w:hint="eastAsia" w:ascii="Times New Roman" w:hAnsi="Times New Roman" w:eastAsia="宋体" w:cs="Times New Roman"/>
          <w:i/>
          <w:iCs/>
          <w:color w:val="auto"/>
          <w:sz w:val="20"/>
          <w:szCs w:val="20"/>
          <w:highlight w:val="none"/>
          <w:lang w:val="en-US" w:eastAsia="zh-CN"/>
        </w:rPr>
      </w:pPr>
      <w:r>
        <w:rPr>
          <w:rFonts w:hint="eastAsia" w:ascii="Times New Roman" w:hAnsi="Times New Roman" w:eastAsia="宋体" w:cs="Times New Roman"/>
          <w:i/>
          <w:iCs/>
          <w:color w:val="auto"/>
          <w:sz w:val="20"/>
          <w:szCs w:val="20"/>
          <w:highlight w:val="none"/>
          <w:lang w:val="en-US" w:eastAsia="zh-CN"/>
        </w:rPr>
        <w:t>Proposals</w:t>
      </w:r>
    </w:p>
    <w:p w14:paraId="26BD9850">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 xml:space="preserve">Proposal 1: For the </w:t>
      </w:r>
      <w:r>
        <w:rPr>
          <w:rFonts w:hint="default" w:ascii="Times New Roman" w:hAnsi="Times New Roman" w:eastAsia="宋体" w:cs="Times New Roman"/>
          <w:i/>
          <w:iCs/>
          <w:color w:val="auto"/>
          <w:sz w:val="20"/>
          <w:szCs w:val="20"/>
          <w:lang w:val="en-US" w:eastAsia="zh-CN"/>
        </w:rPr>
        <w:t>‘SSB-ToMeasure and SS-RSSI-Measurement are configured’</w:t>
      </w:r>
      <w:r>
        <w:rPr>
          <w:rFonts w:hint="eastAsia" w:ascii="Times New Roman" w:hAnsi="Times New Roman" w:eastAsia="宋体" w:cs="Times New Roman"/>
          <w:i/>
          <w:iCs/>
          <w:color w:val="auto"/>
          <w:sz w:val="20"/>
          <w:szCs w:val="20"/>
          <w:lang w:val="en-US" w:eastAsia="zh-CN"/>
        </w:rPr>
        <w:t>, use MRTD as the reference when calculate the margin for non-overlapping duration</w:t>
      </w:r>
    </w:p>
    <w:p w14:paraId="0149671F">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Proposal 1-1:</w:t>
      </w:r>
    </w:p>
    <w:p w14:paraId="32F21455">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eastAsiaTheme="minorEastAsia"/>
          <w:bCs/>
          <w:i/>
          <w:iCs/>
          <w:sz w:val="20"/>
          <w:szCs w:val="20"/>
          <w:lang w:eastAsia="ko-KR" w:bidi="ar"/>
        </w:rPr>
      </w:pPr>
      <w:r>
        <w:rPr>
          <w:rFonts w:hint="eastAsia" w:eastAsia="Yu Mincho Light"/>
          <w:i/>
          <w:iCs/>
          <w:sz w:val="20"/>
          <w:szCs w:val="20"/>
          <w:lang w:eastAsia="ko-KR"/>
        </w:rPr>
        <w:t xml:space="preserve">Consider impact on </w:t>
      </w:r>
      <w:r>
        <w:rPr>
          <w:i/>
          <w:iCs/>
          <w:sz w:val="20"/>
          <w:szCs w:val="20"/>
        </w:rPr>
        <w:t>K</w:t>
      </w:r>
      <w:r>
        <w:rPr>
          <w:i/>
          <w:iCs/>
          <w:sz w:val="20"/>
          <w:szCs w:val="20"/>
          <w:vertAlign w:val="subscript"/>
        </w:rPr>
        <w:t>layer1_measurement</w:t>
      </w:r>
      <w:r>
        <w:rPr>
          <w:rFonts w:hint="eastAsia" w:eastAsia="Yu Mincho Light"/>
          <w:i/>
          <w:iCs/>
          <w:sz w:val="20"/>
          <w:szCs w:val="20"/>
          <w:lang w:eastAsia="ko-KR"/>
        </w:rPr>
        <w:t xml:space="preserve"> due to 33usec MRTD for Case 4 antenna type, e.g., </w:t>
      </w:r>
    </w:p>
    <w:p w14:paraId="360AAACB">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rFonts w:eastAsiaTheme="minorEastAsia"/>
          <w:bCs/>
          <w:i/>
          <w:iCs/>
          <w:sz w:val="20"/>
          <w:szCs w:val="20"/>
          <w:lang w:eastAsia="ko-KR" w:bidi="ar"/>
        </w:rPr>
      </w:pPr>
      <w:r>
        <w:rPr>
          <w:i/>
          <w:iCs/>
          <w:sz w:val="20"/>
          <w:szCs w:val="20"/>
        </w:rPr>
        <w:t xml:space="preserve">if all of the reference signal configured for RLM, BFD, CBD or L1-RSRP for beam reporting outside measurement gap and fully-overlapped by intra-frequency SMTC occasions are not overlapped with any of the SSB symbols and the RSSI symbols, and </w:t>
      </w:r>
      <w:r>
        <w:rPr>
          <w:rFonts w:hint="eastAsia" w:eastAsia="Yu Mincho Light"/>
          <w:i/>
          <w:iCs/>
          <w:sz w:val="20"/>
          <w:szCs w:val="20"/>
          <w:highlight w:val="yellow"/>
          <w:lang w:eastAsia="ko-KR"/>
        </w:rPr>
        <w:t>2</w:t>
      </w:r>
      <w:r>
        <w:rPr>
          <w:i/>
          <w:iCs/>
          <w:sz w:val="20"/>
          <w:szCs w:val="20"/>
          <w:highlight w:val="yellow"/>
        </w:rPr>
        <w:t xml:space="preserve"> symbol</w:t>
      </w:r>
      <w:r>
        <w:rPr>
          <w:i/>
          <w:iCs/>
          <w:sz w:val="20"/>
          <w:szCs w:val="20"/>
        </w:rPr>
        <w:t xml:space="preserve"> before each consecutive SSB symbols and the RSSI symbols, and </w:t>
      </w:r>
      <w:r>
        <w:rPr>
          <w:rFonts w:hint="eastAsia" w:eastAsia="Yu Mincho Light"/>
          <w:i/>
          <w:iCs/>
          <w:sz w:val="20"/>
          <w:szCs w:val="20"/>
          <w:highlight w:val="yellow"/>
          <w:lang w:eastAsia="ko-KR"/>
        </w:rPr>
        <w:t>2</w:t>
      </w:r>
      <w:r>
        <w:rPr>
          <w:i/>
          <w:iCs/>
          <w:sz w:val="20"/>
          <w:szCs w:val="20"/>
          <w:highlight w:val="yellow"/>
        </w:rPr>
        <w:t xml:space="preserve"> symbol</w:t>
      </w:r>
      <w:r>
        <w:rPr>
          <w:i/>
          <w:iCs/>
          <w:sz w:val="20"/>
          <w:szCs w:val="20"/>
        </w:rPr>
        <w:t xml:space="preserve"> after each consecutive SSB symbols and the RSSI symbols </w:t>
      </w:r>
      <w:r>
        <w:rPr>
          <w:rFonts w:hint="eastAsia" w:eastAsia="Yu Mincho Light"/>
          <w:i/>
          <w:iCs/>
          <w:sz w:val="20"/>
          <w:szCs w:val="20"/>
          <w:highlight w:val="yellow"/>
          <w:lang w:eastAsia="ko-KR"/>
        </w:rPr>
        <w:t>of</w:t>
      </w:r>
      <w:r>
        <w:rPr>
          <w:i/>
          <w:iCs/>
          <w:sz w:val="20"/>
          <w:szCs w:val="20"/>
          <w:highlight w:val="yellow"/>
        </w:rPr>
        <w:t xml:space="preserve"> serving cell</w:t>
      </w:r>
      <w:r>
        <w:rPr>
          <w:rFonts w:hint="eastAsia" w:eastAsia="Yu Mincho Light"/>
          <w:i/>
          <w:iCs/>
          <w:sz w:val="20"/>
          <w:szCs w:val="20"/>
          <w:highlight w:val="yellow"/>
          <w:lang w:eastAsia="ko-KR"/>
        </w:rPr>
        <w:t>s</w:t>
      </w:r>
      <w:r>
        <w:rPr>
          <w:i/>
          <w:iCs/>
          <w:sz w:val="20"/>
          <w:szCs w:val="20"/>
          <w:highlight w:val="yellow"/>
        </w:rPr>
        <w:t xml:space="preserve"> when inter-band carrier aggregation within FR1 is configured and UE support</w:t>
      </w:r>
      <w:r>
        <w:rPr>
          <w:rFonts w:hint="eastAsia" w:eastAsia="Yu Mincho Light"/>
          <w:i/>
          <w:iCs/>
          <w:sz w:val="20"/>
          <w:szCs w:val="20"/>
          <w:highlight w:val="yellow"/>
          <w:lang w:eastAsia="ko-KR"/>
        </w:rPr>
        <w:t>s</w:t>
      </w:r>
      <w:r>
        <w:rPr>
          <w:i/>
          <w:iCs/>
          <w:sz w:val="20"/>
          <w:szCs w:val="20"/>
          <w:highlight w:val="yellow"/>
        </w:rPr>
        <w:t xml:space="preserve"> </w:t>
      </w:r>
      <w:r>
        <w:rPr>
          <w:rFonts w:hint="eastAsia" w:eastAsia="Yu Mincho Light"/>
          <w:i/>
          <w:iCs/>
          <w:sz w:val="20"/>
          <w:szCs w:val="20"/>
          <w:highlight w:val="yellow"/>
          <w:lang w:eastAsia="ko-KR"/>
        </w:rPr>
        <w:t>[</w:t>
      </w:r>
      <w:r>
        <w:rPr>
          <w:i/>
          <w:iCs/>
          <w:sz w:val="20"/>
          <w:szCs w:val="20"/>
          <w:highlight w:val="yellow"/>
        </w:rPr>
        <w:t>capability of case 4]</w:t>
      </w:r>
      <w:r>
        <w:rPr>
          <w:i/>
          <w:iCs/>
          <w:sz w:val="20"/>
          <w:szCs w:val="2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5B7F1081">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eastAsiaTheme="minorEastAsia"/>
          <w:bCs/>
          <w:i/>
          <w:iCs/>
          <w:sz w:val="20"/>
          <w:szCs w:val="20"/>
          <w:lang w:eastAsia="ko-KR" w:bidi="ar"/>
        </w:rPr>
      </w:pPr>
      <w:r>
        <w:rPr>
          <w:rFonts w:hint="eastAsia" w:eastAsiaTheme="minorEastAsia"/>
          <w:bCs/>
          <w:i/>
          <w:iCs/>
          <w:sz w:val="20"/>
          <w:szCs w:val="20"/>
          <w:lang w:val="en-US" w:eastAsia="zh-CN" w:bidi="ar"/>
        </w:rPr>
        <w:t xml:space="preserve">Proposal 1-2: </w:t>
      </w:r>
    </w:p>
    <w:p w14:paraId="6686FE90">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i/>
          <w:iCs/>
          <w:sz w:val="20"/>
          <w:szCs w:val="20"/>
          <w:lang w:eastAsia="zh-CN"/>
        </w:rPr>
      </w:pPr>
      <w:r>
        <w:rPr>
          <w:i/>
          <w:iCs/>
          <w:sz w:val="20"/>
          <w:szCs w:val="20"/>
          <w:lang w:eastAsia="zh-CN"/>
        </w:rPr>
        <w:t xml:space="preserve">For UE </w:t>
      </w:r>
      <w:r>
        <w:rPr>
          <w:rFonts w:hint="eastAsia" w:ascii="Times New Roman" w:eastAsia="Yu Mincho Light"/>
          <w:i/>
          <w:iCs/>
          <w:sz w:val="20"/>
          <w:szCs w:val="20"/>
          <w:lang w:val="en-US" w:eastAsia="zh-CN"/>
        </w:rPr>
        <w:t>capable of [</w:t>
      </w:r>
      <w:r>
        <w:rPr>
          <w:i/>
          <w:iCs/>
          <w:sz w:val="20"/>
          <w:szCs w:val="20"/>
        </w:rPr>
        <w:t>antennaArrayType-r1</w:t>
      </w:r>
      <w:r>
        <w:rPr>
          <w:rFonts w:hint="eastAsia" w:eastAsia="宋体"/>
          <w:i/>
          <w:iCs/>
          <w:sz w:val="20"/>
          <w:szCs w:val="20"/>
          <w:lang w:val="en-US" w:eastAsia="zh-CN"/>
        </w:rPr>
        <w:t>8] and [</w:t>
      </w:r>
      <w:r>
        <w:rPr>
          <w:i/>
          <w:iCs/>
          <w:sz w:val="20"/>
          <w:szCs w:val="20"/>
        </w:rPr>
        <w:t>intra-band</w:t>
      </w:r>
      <w:r>
        <w:rPr>
          <w:rFonts w:hint="eastAsia" w:eastAsia="宋体"/>
          <w:i/>
          <w:iCs/>
          <w:sz w:val="20"/>
          <w:szCs w:val="20"/>
          <w:lang w:val="en-US" w:eastAsia="zh-CN"/>
        </w:rPr>
        <w:t xml:space="preserve"> or inter-band</w:t>
      </w:r>
      <w:r>
        <w:rPr>
          <w:i/>
          <w:iCs/>
          <w:sz w:val="20"/>
          <w:szCs w:val="20"/>
        </w:rPr>
        <w:t xml:space="preserve"> carrier aggregation is </w:t>
      </w:r>
      <w:r>
        <w:rPr>
          <w:rFonts w:hint="eastAsia" w:eastAsia="宋体"/>
          <w:i/>
          <w:iCs/>
          <w:sz w:val="20"/>
          <w:szCs w:val="20"/>
          <w:lang w:val="en-US" w:eastAsia="zh-CN"/>
        </w:rPr>
        <w:t>configured]</w:t>
      </w:r>
      <w:r>
        <w:rPr>
          <w:i/>
          <w:iCs/>
          <w:sz w:val="20"/>
          <w:szCs w:val="20"/>
          <w:lang w:eastAsia="zh-CN"/>
        </w:rPr>
        <w:t>,</w:t>
      </w:r>
    </w:p>
    <w:p w14:paraId="6B9E466F">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i/>
          <w:iCs/>
          <w:sz w:val="20"/>
          <w:szCs w:val="20"/>
          <w:lang w:eastAsia="zh-CN"/>
        </w:rPr>
      </w:pPr>
      <w:r>
        <w:rPr>
          <w:i/>
          <w:iCs/>
          <w:sz w:val="20"/>
          <w:szCs w:val="20"/>
        </w:rPr>
        <w:t>K</w:t>
      </w:r>
      <w:r>
        <w:rPr>
          <w:i/>
          <w:iCs/>
          <w:sz w:val="20"/>
          <w:szCs w:val="20"/>
          <w:vertAlign w:val="subscript"/>
        </w:rPr>
        <w:t>layer1_measurement</w:t>
      </w:r>
      <w:r>
        <w:rPr>
          <w:i/>
          <w:iCs/>
          <w:sz w:val="20"/>
          <w:szCs w:val="20"/>
        </w:rPr>
        <w:t xml:space="preserve">=1, </w:t>
      </w:r>
    </w:p>
    <w:p w14:paraId="4E2F0488">
      <w:pPr>
        <w:keepNext w:val="0"/>
        <w:keepLines w:val="0"/>
        <w:pageBreakBefore w:val="0"/>
        <w:widowControl/>
        <w:numPr>
          <w:ilvl w:val="4"/>
          <w:numId w:val="5"/>
        </w:numPr>
        <w:tabs>
          <w:tab w:val="left" w:pos="420"/>
        </w:tabs>
        <w:kinsoku/>
        <w:wordWrap/>
        <w:overflowPunct w:val="0"/>
        <w:topLinePunct w:val="0"/>
        <w:autoSpaceDE w:val="0"/>
        <w:autoSpaceDN w:val="0"/>
        <w:bidi w:val="0"/>
        <w:adjustRightInd w:val="0"/>
        <w:snapToGrid/>
        <w:spacing w:before="60" w:after="60"/>
        <w:ind w:left="2406" w:leftChars="0" w:hanging="363"/>
        <w:textAlignment w:val="baseline"/>
        <w:rPr>
          <w:i/>
          <w:iCs/>
          <w:sz w:val="20"/>
          <w:szCs w:val="20"/>
        </w:rPr>
      </w:pPr>
      <w:r>
        <w:rPr>
          <w:i/>
          <w:iCs/>
          <w:sz w:val="20"/>
          <w:szCs w:val="20"/>
        </w:rPr>
        <w:t xml:space="preserve">if all of the reference signal configured for RLM, BFD, CBD or L1-RSRP for beam reporting </w:t>
      </w:r>
      <w:r>
        <w:rPr>
          <w:rFonts w:hint="eastAsia" w:ascii="Times New Roman" w:eastAsia="Yu Mincho Light"/>
          <w:i/>
          <w:iCs/>
          <w:sz w:val="20"/>
          <w:szCs w:val="20"/>
          <w:highlight w:val="yellow"/>
          <w:lang w:val="en-US" w:eastAsia="zh-CN"/>
        </w:rPr>
        <w:t xml:space="preserve">on any serving frequency in the same band </w:t>
      </w:r>
      <w:r>
        <w:rPr>
          <w:i/>
          <w:iCs/>
          <w:sz w:val="20"/>
          <w:szCs w:val="20"/>
        </w:rPr>
        <w:t xml:space="preserve">outside measurement gap and fully-overlapped by intra-frequency SMTC occasions are not overlapped with any of the SSB symbols and the RSSI symbols, and </w:t>
      </w:r>
      <w:r>
        <w:rPr>
          <w:i/>
          <w:iCs/>
          <w:sz w:val="20"/>
          <w:szCs w:val="20"/>
          <w:highlight w:val="yellow"/>
        </w:rPr>
        <w:t>1</w:t>
      </w:r>
      <w:r>
        <w:rPr>
          <w:i/>
          <w:iCs/>
          <w:sz w:val="20"/>
          <w:szCs w:val="20"/>
        </w:rPr>
        <w:t xml:space="preserve"> symbol before each consecutive SSB symbols and the RSSI symbols, and </w:t>
      </w:r>
      <w:r>
        <w:rPr>
          <w:i/>
          <w:iCs/>
          <w:sz w:val="20"/>
          <w:szCs w:val="20"/>
          <w:highlight w:val="yellow"/>
        </w:rPr>
        <w:t>1</w:t>
      </w:r>
      <w:r>
        <w:rPr>
          <w:i/>
          <w:iCs/>
          <w:sz w:val="20"/>
          <w:szCs w:val="20"/>
        </w:rPr>
        <w:t xml:space="preserve">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r>
        <w:rPr>
          <w:rFonts w:hint="eastAsia" w:ascii="Times New Roman" w:eastAsia="Yu Mincho Light"/>
          <w:i/>
          <w:iCs/>
          <w:sz w:val="20"/>
          <w:szCs w:val="20"/>
          <w:lang w:val="en-US" w:eastAsia="zh-CN"/>
        </w:rPr>
        <w:t>, or</w:t>
      </w:r>
      <w:r>
        <w:rPr>
          <w:i/>
          <w:iCs/>
          <w:sz w:val="20"/>
          <w:szCs w:val="20"/>
        </w:rPr>
        <w:t>;</w:t>
      </w:r>
    </w:p>
    <w:p w14:paraId="29534FDC">
      <w:pPr>
        <w:keepNext w:val="0"/>
        <w:keepLines w:val="0"/>
        <w:pageBreakBefore w:val="0"/>
        <w:widowControl/>
        <w:numPr>
          <w:ilvl w:val="4"/>
          <w:numId w:val="5"/>
        </w:numPr>
        <w:tabs>
          <w:tab w:val="left" w:pos="420"/>
        </w:tabs>
        <w:kinsoku/>
        <w:wordWrap/>
        <w:overflowPunct w:val="0"/>
        <w:topLinePunct w:val="0"/>
        <w:autoSpaceDE w:val="0"/>
        <w:autoSpaceDN w:val="0"/>
        <w:bidi w:val="0"/>
        <w:adjustRightInd w:val="0"/>
        <w:snapToGrid/>
        <w:spacing w:before="60" w:after="60"/>
        <w:ind w:left="2406" w:leftChars="0" w:hanging="363"/>
        <w:textAlignment w:val="baseline"/>
        <w:rPr>
          <w:i/>
          <w:iCs/>
          <w:sz w:val="20"/>
          <w:szCs w:val="20"/>
        </w:rPr>
      </w:pPr>
      <w:r>
        <w:rPr>
          <w:i/>
          <w:iCs/>
          <w:sz w:val="20"/>
          <w:szCs w:val="20"/>
        </w:rPr>
        <w:t xml:space="preserve">if all of the reference signal configured for RLM, BFD, CBD or L1-RSRP for beam reporting </w:t>
      </w:r>
      <w:r>
        <w:rPr>
          <w:rFonts w:hint="eastAsia" w:ascii="Times New Roman" w:eastAsia="Yu Mincho Light"/>
          <w:i/>
          <w:iCs/>
          <w:sz w:val="20"/>
          <w:szCs w:val="20"/>
          <w:highlight w:val="yellow"/>
          <w:lang w:val="en-US" w:eastAsia="zh-CN"/>
        </w:rPr>
        <w:t xml:space="preserve">on any serving frequency in different band </w:t>
      </w:r>
      <w:r>
        <w:rPr>
          <w:i/>
          <w:iCs/>
          <w:sz w:val="20"/>
          <w:szCs w:val="20"/>
        </w:rPr>
        <w:t xml:space="preserve">outside measurement gap and fully-overlapped by intra-frequency SMTC occasions are not overlapped with any of the SSB symbols and the RSSI symbols, and </w:t>
      </w:r>
      <w:r>
        <w:rPr>
          <w:rFonts w:hint="eastAsia" w:ascii="Times New Roman" w:eastAsia="Yu Mincho Light"/>
          <w:i/>
          <w:iCs/>
          <w:sz w:val="20"/>
          <w:szCs w:val="20"/>
          <w:highlight w:val="yellow"/>
          <w:lang w:val="en-US" w:eastAsia="zh-CN"/>
        </w:rPr>
        <w:t>2</w:t>
      </w:r>
      <w:r>
        <w:rPr>
          <w:i/>
          <w:iCs/>
          <w:sz w:val="20"/>
          <w:szCs w:val="20"/>
        </w:rPr>
        <w:t xml:space="preserve"> symbol</w:t>
      </w:r>
      <w:r>
        <w:rPr>
          <w:rFonts w:hint="eastAsia" w:ascii="Times New Roman" w:eastAsia="Yu Mincho Light"/>
          <w:i/>
          <w:iCs/>
          <w:sz w:val="20"/>
          <w:szCs w:val="20"/>
          <w:highlight w:val="yellow"/>
          <w:lang w:val="en-US" w:eastAsia="zh-CN"/>
        </w:rPr>
        <w:t>s</w:t>
      </w:r>
      <w:r>
        <w:rPr>
          <w:i/>
          <w:iCs/>
          <w:sz w:val="20"/>
          <w:szCs w:val="20"/>
        </w:rPr>
        <w:t xml:space="preserve"> before each consecutive SSB symbols and the RSSI symbols, and </w:t>
      </w:r>
      <w:r>
        <w:rPr>
          <w:rFonts w:hint="eastAsia" w:ascii="Times New Roman" w:eastAsia="Yu Mincho Light"/>
          <w:i/>
          <w:iCs/>
          <w:sz w:val="20"/>
          <w:szCs w:val="20"/>
          <w:highlight w:val="yellow"/>
          <w:lang w:val="en-US" w:eastAsia="zh-CN"/>
        </w:rPr>
        <w:t>2</w:t>
      </w:r>
      <w:r>
        <w:rPr>
          <w:i/>
          <w:iCs/>
          <w:sz w:val="20"/>
          <w:szCs w:val="20"/>
        </w:rPr>
        <w:t xml:space="preserve"> symbol</w:t>
      </w:r>
      <w:r>
        <w:rPr>
          <w:rFonts w:hint="eastAsia" w:ascii="Times New Roman" w:eastAsia="Yu Mincho Light"/>
          <w:i/>
          <w:iCs/>
          <w:sz w:val="20"/>
          <w:szCs w:val="20"/>
          <w:highlight w:val="yellow"/>
          <w:lang w:val="en-US" w:eastAsia="zh-CN"/>
        </w:rPr>
        <w:t>s</w:t>
      </w:r>
      <w:r>
        <w:rPr>
          <w:i/>
          <w:iCs/>
          <w:sz w:val="20"/>
          <w:szCs w:val="20"/>
        </w:rPr>
        <w:t xml:space="preserve"> after each consecutive SSB symbols and the RSSI symbols, given that SSB-ToMeasure and SS-RSSI-Measurement are configured</w:t>
      </w:r>
      <w:r>
        <w:rPr>
          <w:rFonts w:hint="eastAsia" w:ascii="Times New Roman" w:eastAsia="Yu Mincho Light"/>
          <w:i/>
          <w:iCs/>
          <w:sz w:val="20"/>
          <w:szCs w:val="20"/>
          <w:lang w:val="en-US" w:eastAsia="zh-CN"/>
        </w:rPr>
        <w:t xml:space="preserve"> </w:t>
      </w:r>
      <w:r>
        <w:rPr>
          <w:rFonts w:hint="eastAsia" w:ascii="Times New Roman" w:eastAsia="Yu Mincho Light"/>
          <w:i/>
          <w:iCs/>
          <w:sz w:val="20"/>
          <w:szCs w:val="20"/>
          <w:highlight w:val="yellow"/>
          <w:lang w:val="en-US" w:eastAsia="zh-CN"/>
        </w:rPr>
        <w:t>and the UE is capable of [common Rx beam between PCC band and SCC band]</w:t>
      </w:r>
      <w:r>
        <w:rPr>
          <w:i/>
          <w:iCs/>
          <w:sz w:val="20"/>
          <w:szCs w:val="20"/>
        </w:rPr>
        <w:t>, where SSB symbols are indicated by the union set of SSB-ToMeasure from all the configured measurement objects on the same serving carrier which can be merged. and RSSI symbols are indicated by SS-RSSI-Measurement</w:t>
      </w:r>
      <w:r>
        <w:rPr>
          <w:rFonts w:hint="eastAsia" w:ascii="Times New Roman" w:eastAsia="Yu Mincho Light"/>
          <w:i/>
          <w:iCs/>
          <w:sz w:val="20"/>
          <w:szCs w:val="20"/>
          <w:lang w:val="en-US" w:eastAsia="zh-CN"/>
        </w:rPr>
        <w:t>, or</w:t>
      </w:r>
      <w:r>
        <w:rPr>
          <w:i/>
          <w:iCs/>
          <w:sz w:val="20"/>
          <w:szCs w:val="20"/>
        </w:rPr>
        <w:t>;</w:t>
      </w:r>
    </w:p>
    <w:p w14:paraId="2A5A925D">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Proposal 2:</w:t>
      </w:r>
    </w:p>
    <w:p w14:paraId="79014EC5">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eastAsia="宋体"/>
          <w:i/>
          <w:iCs/>
          <w:sz w:val="20"/>
          <w:szCs w:val="20"/>
          <w:lang w:val="en-US" w:eastAsia="zh-CN"/>
        </w:rPr>
      </w:pPr>
      <w:r>
        <w:rPr>
          <w:rFonts w:hint="eastAsia" w:eastAsia="等线"/>
          <w:i/>
          <w:iCs/>
          <w:sz w:val="20"/>
          <w:szCs w:val="20"/>
          <w:lang w:val="en-US" w:eastAsia="zh-CN"/>
        </w:rPr>
        <w:t xml:space="preserve">Firstly align the understanding about the reference timing of SSB symbols and the RSSI symbols in the definition of </w:t>
      </w:r>
      <w:r>
        <w:rPr>
          <w:i/>
          <w:iCs/>
          <w:sz w:val="20"/>
          <w:szCs w:val="20"/>
        </w:rPr>
        <w:t>K</w:t>
      </w:r>
      <w:r>
        <w:rPr>
          <w:i/>
          <w:iCs/>
          <w:sz w:val="20"/>
          <w:szCs w:val="20"/>
          <w:vertAlign w:val="subscript"/>
        </w:rPr>
        <w:t>layer1_measurement</w:t>
      </w:r>
      <w:r>
        <w:rPr>
          <w:rFonts w:hint="eastAsia" w:eastAsia="宋体"/>
          <w:i/>
          <w:iCs/>
          <w:sz w:val="20"/>
          <w:szCs w:val="20"/>
          <w:lang w:val="en-US" w:eastAsia="zh-CN"/>
        </w:rPr>
        <w:t>.</w:t>
      </w:r>
    </w:p>
    <w:p w14:paraId="1F1241B3">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eastAsia="等线"/>
          <w:i/>
          <w:iCs/>
          <w:sz w:val="20"/>
          <w:szCs w:val="20"/>
          <w:lang w:val="en-US" w:eastAsia="zh-CN"/>
        </w:rPr>
      </w:pPr>
      <w:r>
        <w:rPr>
          <w:rFonts w:hint="eastAsia" w:eastAsia="等线"/>
          <w:i/>
          <w:iCs/>
          <w:sz w:val="20"/>
          <w:szCs w:val="20"/>
          <w:lang w:val="en-US" w:eastAsia="zh-CN"/>
        </w:rPr>
        <w:t>If the serving cell timing is used as the reference timing of SSB symbols and the RSSI symbols, then extend the margin considering the maximum propagation delay difference between serving cell and neighbour cells.</w:t>
      </w:r>
    </w:p>
    <w:p w14:paraId="466DCC8C">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hint="eastAsia" w:eastAsia="等线"/>
          <w:i/>
          <w:iCs/>
          <w:sz w:val="20"/>
          <w:szCs w:val="20"/>
          <w:lang w:val="en-US" w:eastAsia="ko-KR"/>
        </w:rPr>
      </w:pPr>
      <w:r>
        <w:rPr>
          <w:rFonts w:hint="eastAsia" w:eastAsia="等线"/>
          <w:i/>
          <w:iCs/>
          <w:sz w:val="20"/>
          <w:szCs w:val="20"/>
          <w:lang w:val="en-US" w:eastAsia="zh-CN"/>
        </w:rPr>
        <w:t>If the neighbour cell timing is used as the reference timing of SSB symbols and the RSSI symbols, then reuse the legacy 1 symbol margin</w:t>
      </w:r>
    </w:p>
    <w:p w14:paraId="2EFA3F4B">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Proposal 3:</w:t>
      </w:r>
    </w:p>
    <w:p w14:paraId="74A473D0">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eastAsiaTheme="minorEastAsia"/>
          <w:bCs/>
          <w:i/>
          <w:iCs/>
          <w:sz w:val="20"/>
          <w:szCs w:val="20"/>
          <w:lang w:eastAsia="ko-KR" w:bidi="ar"/>
        </w:rPr>
      </w:pPr>
      <w:r>
        <w:rPr>
          <w:i/>
          <w:iCs/>
          <w:sz w:val="20"/>
          <w:szCs w:val="20"/>
          <w:lang w:val="en-US"/>
        </w:rPr>
        <w:t xml:space="preserve">reuse the legacy specification, i.e.  </w:t>
      </w:r>
    </w:p>
    <w:p w14:paraId="164A6760">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hint="eastAsia"/>
          <w:i/>
          <w:iCs/>
          <w:sz w:val="20"/>
          <w:szCs w:val="20"/>
          <w:lang w:val="en-US" w:eastAsia="zh-CN"/>
        </w:rPr>
      </w:pPr>
      <w:r>
        <w:rPr>
          <w:i/>
          <w:iCs/>
          <w:sz w:val="20"/>
          <w:szCs w:val="20"/>
          <w:lang w:val="en-US"/>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7EA3DD2E">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After our analysis, we identify that it is a Rel-18 maintenance issue.</w:t>
      </w:r>
      <w:r>
        <w:rPr>
          <w:rFonts w:eastAsia="等线"/>
          <w:sz w:val="20"/>
          <w:szCs w:val="20"/>
        </w:rPr>
        <w:t xml:space="preserve"> In this contribution, we</w:t>
      </w:r>
      <w:r>
        <w:rPr>
          <w:rFonts w:hint="eastAsia" w:eastAsia="等线"/>
          <w:sz w:val="20"/>
          <w:szCs w:val="20"/>
          <w:lang w:val="en-US" w:eastAsia="zh-CN"/>
        </w:rPr>
        <w:t xml:space="preserve"> will give our analysis and solution for this issue.</w:t>
      </w:r>
    </w:p>
    <w:p w14:paraId="01DAC539">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14:paraId="274CE7A0">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ko-KR"/>
        </w:rPr>
      </w:pPr>
      <w:bookmarkStart w:id="7" w:name="_Hlk70326378"/>
      <w:r>
        <w:rPr>
          <w:rFonts w:hint="eastAsia" w:ascii="Times New Roman" w:hAnsi="Times New Roman" w:cs="Times New Roman"/>
          <w:b/>
          <w:i/>
          <w:iCs/>
          <w:color w:val="auto"/>
          <w:sz w:val="20"/>
          <w:szCs w:val="20"/>
          <w:u w:val="single"/>
          <w:lang w:val="en-US" w:eastAsia="zh-CN"/>
        </w:rPr>
        <w:t>Sharing factor between L1 measurement and RRM measurement - effective non-overlapping duration</w:t>
      </w:r>
    </w:p>
    <w:p w14:paraId="5B0722B3">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When define the ATG </w:t>
      </w:r>
      <w:r>
        <w:rPr>
          <w:sz w:val="20"/>
          <w:szCs w:val="20"/>
        </w:rPr>
        <w:t>K</w:t>
      </w:r>
      <w:r>
        <w:rPr>
          <w:sz w:val="20"/>
          <w:szCs w:val="20"/>
          <w:vertAlign w:val="subscript"/>
        </w:rPr>
        <w:t>layer1_measurement</w:t>
      </w:r>
      <w:r>
        <w:rPr>
          <w:rFonts w:hint="eastAsia" w:eastAsia="等线" w:cs="Times New Roman"/>
          <w:sz w:val="20"/>
          <w:szCs w:val="20"/>
          <w:lang w:val="en-US" w:eastAsia="zh-CN"/>
        </w:rPr>
        <w:t xml:space="preserve"> in Rel-18 spec, RAN4 take the FR2 </w:t>
      </w:r>
      <w:r>
        <w:rPr>
          <w:sz w:val="20"/>
          <w:szCs w:val="20"/>
        </w:rPr>
        <w:t>K</w:t>
      </w:r>
      <w:r>
        <w:rPr>
          <w:sz w:val="20"/>
          <w:szCs w:val="20"/>
          <w:vertAlign w:val="subscript"/>
        </w:rPr>
        <w:t>layer1_measurement</w:t>
      </w:r>
      <w:r>
        <w:rPr>
          <w:rFonts w:hint="eastAsia" w:eastAsia="等线" w:cs="Times New Roman"/>
          <w:sz w:val="20"/>
          <w:szCs w:val="20"/>
          <w:lang w:val="en-US" w:eastAsia="zh-CN"/>
        </w:rPr>
        <w:t xml:space="preserve"> as the reference</w:t>
      </w:r>
      <w:r>
        <w:rPr>
          <w:rFonts w:hint="eastAsia" w:eastAsia="宋体"/>
          <w:sz w:val="20"/>
          <w:szCs w:val="20"/>
          <w:vertAlign w:val="baseline"/>
          <w:lang w:val="en-US" w:eastAsia="zh-CN"/>
        </w:rPr>
        <w:t xml:space="preserve">, Below is an example of ATG </w:t>
      </w:r>
      <w:r>
        <w:rPr>
          <w:sz w:val="20"/>
          <w:szCs w:val="20"/>
        </w:rPr>
        <w:t>K</w:t>
      </w:r>
      <w:r>
        <w:rPr>
          <w:sz w:val="20"/>
          <w:szCs w:val="20"/>
          <w:vertAlign w:val="subscript"/>
        </w:rPr>
        <w:t>layer1_measurement</w:t>
      </w:r>
      <w:r>
        <w:rPr>
          <w:rFonts w:hint="eastAsia" w:eastAsia="宋体"/>
          <w:sz w:val="20"/>
          <w:szCs w:val="20"/>
          <w:vertAlign w:val="subscript"/>
          <w:lang w:val="en-US" w:eastAsia="zh-CN"/>
        </w:rPr>
        <w:t xml:space="preserve"> </w:t>
      </w:r>
      <w:r>
        <w:rPr>
          <w:rFonts w:hint="eastAsia" w:eastAsia="宋体"/>
          <w:sz w:val="20"/>
          <w:szCs w:val="20"/>
          <w:vertAlign w:val="baseline"/>
          <w:lang w:val="en-US" w:eastAsia="zh-CN"/>
        </w:rPr>
        <w:t>for</w:t>
      </w:r>
      <w:r>
        <w:rPr>
          <w:rFonts w:hint="eastAsia" w:eastAsia="等线" w:cs="Times New Roman"/>
          <w:sz w:val="20"/>
          <w:szCs w:val="20"/>
          <w:lang w:val="en-US" w:eastAsia="zh-CN"/>
        </w:rPr>
        <w:t xml:space="preserve"> intra-frequency measurement without gap case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2"/>
      </w:tblGrid>
      <w:tr w14:paraId="0E38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2" w:type="dxa"/>
          </w:tcPr>
          <w:p w14:paraId="462D7A15">
            <w:pPr>
              <w:rPr>
                <w:sz w:val="20"/>
                <w:szCs w:val="20"/>
                <w:lang w:eastAsia="zh-CN"/>
              </w:rPr>
            </w:pPr>
            <w:r>
              <w:rPr>
                <w:sz w:val="20"/>
                <w:szCs w:val="20"/>
                <w:lang w:eastAsia="zh-CN"/>
              </w:rPr>
              <w:t xml:space="preserve">For UE </w:t>
            </w:r>
            <w:r>
              <w:rPr>
                <w:rFonts w:hint="eastAsia"/>
                <w:sz w:val="20"/>
                <w:szCs w:val="20"/>
                <w:lang w:val="en-US" w:eastAsia="zh-CN"/>
              </w:rPr>
              <w:t xml:space="preserve">capable of </w:t>
            </w:r>
            <w:r>
              <w:rPr>
                <w:i/>
                <w:iCs/>
                <w:sz w:val="20"/>
                <w:szCs w:val="20"/>
              </w:rPr>
              <w:t>antennaArrayType-r18</w:t>
            </w:r>
            <w:r>
              <w:rPr>
                <w:sz w:val="20"/>
                <w:szCs w:val="20"/>
                <w:lang w:eastAsia="zh-CN"/>
              </w:rPr>
              <w:t>,</w:t>
            </w:r>
          </w:p>
          <w:p w14:paraId="30D81275">
            <w:pPr>
              <w:pStyle w:val="82"/>
              <w:rPr>
                <w:sz w:val="20"/>
                <w:szCs w:val="20"/>
                <w:lang w:eastAsia="zh-CN"/>
              </w:rPr>
            </w:pPr>
            <w:r>
              <w:rPr>
                <w:sz w:val="20"/>
                <w:szCs w:val="20"/>
              </w:rPr>
              <w:t>K</w:t>
            </w:r>
            <w:r>
              <w:rPr>
                <w:sz w:val="20"/>
                <w:szCs w:val="20"/>
                <w:vertAlign w:val="subscript"/>
              </w:rPr>
              <w:t>layer1_measurement</w:t>
            </w:r>
            <w:r>
              <w:rPr>
                <w:sz w:val="20"/>
                <w:szCs w:val="20"/>
              </w:rPr>
              <w:t xml:space="preserve">=1, </w:t>
            </w:r>
          </w:p>
          <w:p w14:paraId="1F057CEC">
            <w:pPr>
              <w:pStyle w:val="83"/>
              <w:rPr>
                <w:sz w:val="20"/>
                <w:szCs w:val="20"/>
              </w:rPr>
            </w:pPr>
            <w:r>
              <w:rPr>
                <w:sz w:val="20"/>
                <w:szCs w:val="20"/>
              </w:rPr>
              <w:t>-</w:t>
            </w:r>
            <w:r>
              <w:rPr>
                <w:sz w:val="20"/>
                <w:szCs w:val="20"/>
              </w:rPr>
              <w:tab/>
            </w:r>
            <w:r>
              <w:rPr>
                <w:sz w:val="20"/>
                <w:szCs w:val="20"/>
              </w:rPr>
              <w:t xml:space="preserve">if all of the reference signals configured for RLM, BFD, CBD or L1-RSRP for beam reporting outside measurement gap are not fully overlapped by intra-frequency SMTC occasions, or </w:t>
            </w:r>
          </w:p>
          <w:p w14:paraId="546BE79E">
            <w:pPr>
              <w:pStyle w:val="83"/>
              <w:rPr>
                <w:sz w:val="20"/>
                <w:szCs w:val="20"/>
              </w:rPr>
            </w:pPr>
            <w:r>
              <w:rPr>
                <w:sz w:val="20"/>
                <w:szCs w:val="20"/>
              </w:rPr>
              <w:t>-</w:t>
            </w:r>
            <w:r>
              <w:rPr>
                <w:sz w:val="20"/>
                <w:szCs w:val="20"/>
              </w:rPr>
              <w:tab/>
            </w:r>
            <w:r>
              <w:rPr>
                <w:sz w:val="20"/>
                <w:szCs w:val="20"/>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sz w:val="20"/>
                <w:szCs w:val="20"/>
              </w:rPr>
              <w:t xml:space="preserve">SSB-ToMeasure </w:t>
            </w:r>
            <w:r>
              <w:rPr>
                <w:sz w:val="20"/>
                <w:szCs w:val="20"/>
              </w:rPr>
              <w:t>and</w:t>
            </w:r>
            <w:r>
              <w:rPr>
                <w:i/>
                <w:sz w:val="20"/>
                <w:szCs w:val="20"/>
              </w:rPr>
              <w:t xml:space="preserve"> SS-RSSI-Measurement </w:t>
            </w:r>
            <w:r>
              <w:rPr>
                <w:sz w:val="20"/>
                <w:szCs w:val="20"/>
              </w:rPr>
              <w:t>are configured, where SSB symbols are indicated by the union</w:t>
            </w:r>
            <w:r>
              <w:rPr>
                <w:color w:val="00B050"/>
                <w:sz w:val="20"/>
                <w:szCs w:val="20"/>
              </w:rPr>
              <w:t xml:space="preserve"> </w:t>
            </w:r>
            <w:r>
              <w:rPr>
                <w:sz w:val="20"/>
                <w:szCs w:val="20"/>
              </w:rPr>
              <w:t>set of </w:t>
            </w:r>
            <w:r>
              <w:rPr>
                <w:i/>
                <w:iCs/>
                <w:sz w:val="20"/>
                <w:szCs w:val="20"/>
              </w:rPr>
              <w:t>SSB-ToMeasure</w:t>
            </w:r>
            <w:r>
              <w:rPr>
                <w:sz w:val="20"/>
                <w:szCs w:val="20"/>
              </w:rPr>
              <w:t> from all the configured</w:t>
            </w:r>
            <w:r>
              <w:rPr>
                <w:color w:val="00B050"/>
                <w:sz w:val="20"/>
                <w:szCs w:val="20"/>
              </w:rPr>
              <w:t xml:space="preserve"> </w:t>
            </w:r>
            <w:r>
              <w:rPr>
                <w:sz w:val="20"/>
                <w:szCs w:val="20"/>
              </w:rPr>
              <w:t>measurement objects on the same serving carrier</w:t>
            </w:r>
            <w:r>
              <w:rPr>
                <w:color w:val="00B050"/>
                <w:sz w:val="20"/>
                <w:szCs w:val="20"/>
              </w:rPr>
              <w:t xml:space="preserve"> </w:t>
            </w:r>
            <w:r>
              <w:rPr>
                <w:sz w:val="20"/>
                <w:szCs w:val="20"/>
              </w:rPr>
              <w:t>which can be merged.</w:t>
            </w:r>
            <w:r>
              <w:rPr>
                <w:i/>
                <w:sz w:val="20"/>
                <w:szCs w:val="20"/>
              </w:rPr>
              <w:t xml:space="preserve"> </w:t>
            </w:r>
            <w:r>
              <w:rPr>
                <w:sz w:val="20"/>
                <w:szCs w:val="20"/>
              </w:rPr>
              <w:t xml:space="preserve">and RSSI symbols are indicated by </w:t>
            </w:r>
            <w:r>
              <w:rPr>
                <w:i/>
                <w:sz w:val="20"/>
                <w:szCs w:val="20"/>
              </w:rPr>
              <w:t>SS-RSSI-Measurement</w:t>
            </w:r>
            <w:r>
              <w:rPr>
                <w:sz w:val="20"/>
                <w:szCs w:val="20"/>
              </w:rPr>
              <w:t>;</w:t>
            </w:r>
          </w:p>
          <w:p w14:paraId="351076B3">
            <w:pPr>
              <w:pStyle w:val="83"/>
              <w:ind w:left="284" w:firstLine="284"/>
              <w:rPr>
                <w:rFonts w:hint="default" w:eastAsia="等线" w:cs="Times New Roman"/>
                <w:sz w:val="20"/>
                <w:szCs w:val="20"/>
                <w:vertAlign w:val="baseline"/>
                <w:lang w:val="en-US" w:eastAsia="zh-CN"/>
              </w:rPr>
            </w:pPr>
            <w:r>
              <w:rPr>
                <w:sz w:val="20"/>
                <w:szCs w:val="20"/>
              </w:rPr>
              <w:t>K</w:t>
            </w:r>
            <w:r>
              <w:rPr>
                <w:sz w:val="20"/>
                <w:szCs w:val="20"/>
                <w:vertAlign w:val="subscript"/>
              </w:rPr>
              <w:t>layer1_measurement</w:t>
            </w:r>
            <w:r>
              <w:rPr>
                <w:sz w:val="20"/>
                <w:szCs w:val="20"/>
              </w:rPr>
              <w:t>=1.5, otherwise.</w:t>
            </w:r>
          </w:p>
        </w:tc>
      </w:tr>
    </w:tbl>
    <w:p w14:paraId="0B2ECEE7">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In legacy FR2, </w:t>
      </w:r>
      <w:r>
        <w:rPr>
          <w:rFonts w:hint="default" w:ascii="Times New Roman" w:hAnsi="Times New Roman" w:cs="Times New Roman"/>
          <w:i w:val="0"/>
          <w:iCs w:val="0"/>
          <w:color w:val="auto"/>
          <w:sz w:val="20"/>
          <w:szCs w:val="20"/>
        </w:rPr>
        <w:t>K</w:t>
      </w:r>
      <w:r>
        <w:rPr>
          <w:rFonts w:hint="default" w:ascii="Times New Roman" w:hAnsi="Times New Roman" w:cs="Times New Roman"/>
          <w:i w:val="0"/>
          <w:iCs w:val="0"/>
          <w:color w:val="auto"/>
          <w:sz w:val="20"/>
          <w:szCs w:val="20"/>
          <w:vertAlign w:val="subscript"/>
        </w:rPr>
        <w:t>layer1_measurement</w:t>
      </w:r>
      <w:r>
        <w:rPr>
          <w:rFonts w:hint="default" w:ascii="Times New Roman" w:hAnsi="Times New Roman" w:cs="Times New Roman"/>
          <w:i w:val="0"/>
          <w:iCs w:val="0"/>
          <w:color w:val="auto"/>
          <w:sz w:val="20"/>
          <w:szCs w:val="20"/>
          <w:lang w:eastAsia="ko-KR"/>
        </w:rPr>
        <w:t xml:space="preserve"> </w:t>
      </w:r>
      <w:r>
        <w:rPr>
          <w:rFonts w:hint="eastAsia" w:eastAsia="宋体" w:cs="Times New Roman"/>
          <w:i w:val="0"/>
          <w:iCs w:val="0"/>
          <w:color w:val="auto"/>
          <w:sz w:val="20"/>
          <w:szCs w:val="20"/>
          <w:lang w:val="en-US" w:eastAsia="zh-CN"/>
        </w:rPr>
        <w:t xml:space="preserve">=1 </w:t>
      </w:r>
      <w:r>
        <w:rPr>
          <w:rFonts w:hint="eastAsia" w:eastAsia="等线" w:cs="Times New Roman"/>
          <w:sz w:val="20"/>
          <w:szCs w:val="20"/>
          <w:lang w:val="en-US" w:eastAsia="zh-CN"/>
        </w:rPr>
        <w:t xml:space="preserve">when the L1-RSs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eastAsia" w:eastAsia="等线" w:cs="Times New Roman"/>
          <w:i/>
          <w:iCs/>
          <w:sz w:val="20"/>
          <w:szCs w:val="20"/>
          <w:lang w:val="en-US" w:eastAsia="zh-CN"/>
        </w:rPr>
        <w:t>SSB-ToMeasure</w:t>
      </w:r>
      <w:r>
        <w:rPr>
          <w:rFonts w:hint="eastAsia" w:eastAsia="等线" w:cs="Times New Roman"/>
          <w:sz w:val="20"/>
          <w:szCs w:val="20"/>
          <w:lang w:val="en-US" w:eastAsia="zh-CN"/>
        </w:rPr>
        <w:t xml:space="preserve"> and </w:t>
      </w:r>
      <w:r>
        <w:rPr>
          <w:rFonts w:hint="eastAsia" w:eastAsia="等线" w:cs="Times New Roman"/>
          <w:i/>
          <w:iCs/>
          <w:sz w:val="20"/>
          <w:szCs w:val="20"/>
          <w:lang w:val="en-US" w:eastAsia="zh-CN"/>
        </w:rPr>
        <w:t>SS-RSSI-Measurement</w:t>
      </w:r>
      <w:r>
        <w:rPr>
          <w:rFonts w:hint="eastAsia" w:eastAsia="等线" w:cs="Times New Roman"/>
          <w:sz w:val="20"/>
          <w:szCs w:val="20"/>
          <w:lang w:val="en-US" w:eastAsia="zh-CN"/>
        </w:rPr>
        <w:t xml:space="preserve"> are configured. This was introduced from R15, and only FR2-1 SCS up to 240kHz was considered at that time.</w:t>
      </w:r>
    </w:p>
    <w:p w14:paraId="66E60B86">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In our understanding, the location of SSB symbols and the RSSI symbols of intra-frequency neighbour cells are determined by serving cell timing and the configured </w:t>
      </w:r>
      <w:r>
        <w:rPr>
          <w:rFonts w:hint="default" w:eastAsia="等线" w:cs="Times New Roman"/>
          <w:i/>
          <w:iCs/>
          <w:sz w:val="20"/>
          <w:szCs w:val="20"/>
          <w:lang w:val="en-US" w:eastAsia="zh-CN"/>
        </w:rPr>
        <w:t>SSB-ToMeasure</w:t>
      </w:r>
      <w:r>
        <w:rPr>
          <w:rFonts w:hint="default" w:eastAsia="等线" w:cs="Times New Roman"/>
          <w:sz w:val="20"/>
          <w:szCs w:val="20"/>
          <w:lang w:val="en-US" w:eastAsia="zh-CN"/>
        </w:rPr>
        <w:t xml:space="preserve"> and </w:t>
      </w:r>
      <w:r>
        <w:rPr>
          <w:rFonts w:hint="default" w:eastAsia="等线" w:cs="Times New Roman"/>
          <w:i/>
          <w:iCs/>
          <w:sz w:val="20"/>
          <w:szCs w:val="20"/>
          <w:lang w:val="en-US" w:eastAsia="zh-CN"/>
        </w:rPr>
        <w:t>SS-RSSI-Measurement</w:t>
      </w:r>
      <w:r>
        <w:rPr>
          <w:rFonts w:hint="eastAsia" w:eastAsia="等线" w:cs="Times New Roman"/>
          <w:sz w:val="20"/>
          <w:szCs w:val="20"/>
          <w:lang w:val="en-US" w:eastAsia="zh-CN"/>
        </w:rPr>
        <w:t>. Thus, 1 symbol margin is considered including the maximum propagation delay difference（3</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for 1km cell coverage）and sync margin (3</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for FDD, 1.5</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for TDD) between serving cell and neighbour cells.</w:t>
      </w:r>
    </w:p>
    <w:p w14:paraId="0B239682">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Observation 1: The serving cell timing is used as the reference timing of SSB symbols and the RSSI symbols indicated by SSB-ToMeasure and SS-RSSI-Measurement.</w:t>
      </w:r>
    </w:p>
    <w:p w14:paraId="5EB81745">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The same logic shall be followed for FR1 ATG, that the margin shall consider the maximum propagation delay difference and sync margin between serving cell and neighbour cells. For the ATG scenario, the maximum propagation delay difference is about 1ms if we consider 300km ISD.</w:t>
      </w:r>
    </w:p>
    <w:p w14:paraId="5D7ADD66">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As a consequence, if we still want to introduce this </w:t>
      </w:r>
      <w:r>
        <w:rPr>
          <w:rFonts w:hint="default" w:eastAsia="等线" w:cs="Times New Roman"/>
          <w:sz w:val="20"/>
          <w:szCs w:val="20"/>
          <w:lang w:val="en-US" w:eastAsia="zh-CN"/>
        </w:rPr>
        <w:t>‘</w:t>
      </w:r>
      <w:r>
        <w:rPr>
          <w:rFonts w:hint="eastAsia" w:eastAsia="等线" w:cs="Times New Roman"/>
          <w:sz w:val="20"/>
          <w:szCs w:val="20"/>
          <w:lang w:val="en-US" w:eastAsia="zh-CN"/>
        </w:rPr>
        <w:t>L1-RSs fully-overlapped by intra-frequency SMTC occasions are not overlapped with any of the effective L3-RSs symbols</w:t>
      </w:r>
      <w:r>
        <w:rPr>
          <w:rFonts w:hint="default" w:eastAsia="等线" w:cs="Times New Roman"/>
          <w:sz w:val="20"/>
          <w:szCs w:val="20"/>
          <w:lang w:val="en-US" w:eastAsia="zh-CN"/>
        </w:rPr>
        <w:t>’</w:t>
      </w:r>
      <w:r>
        <w:rPr>
          <w:rFonts w:hint="eastAsia" w:eastAsia="等线" w:cs="Times New Roman"/>
          <w:sz w:val="20"/>
          <w:szCs w:val="20"/>
          <w:lang w:val="en-US" w:eastAsia="zh-CN"/>
        </w:rPr>
        <w:t xml:space="preserve"> case, the margin shall be extend to at least 1ms, and the modification shall be done from R18, due to this is not the CA specific feature.</w:t>
      </w:r>
    </w:p>
    <w:p w14:paraId="15C039B2">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sz w:val="20"/>
          <w:szCs w:val="20"/>
          <w:lang w:val="en-US" w:eastAsia="zh-CN"/>
        </w:rPr>
        <w:t>From our perspective, with total 2ms margin, this case will not bring too much gain for measurement delay reduction. We prefer to remove this ‘L1-RSs fully-overlapped by intra-frequency SMTC occasions are not overlapped with any of the effective L3-RSs symbols’ case from R18.</w:t>
      </w:r>
    </w:p>
    <w:p w14:paraId="13E24173">
      <w:pPr>
        <w:pageBreakBefore w:val="0"/>
        <w:widowControl/>
        <w:tabs>
          <w:tab w:val="left" w:pos="1134"/>
        </w:tabs>
        <w:kinsoku/>
        <w:wordWrap/>
        <w:topLinePunct w:val="0"/>
        <w:bidi w:val="0"/>
        <w:snapToGrid/>
        <w:spacing w:before="60" w:after="60"/>
        <w:jc w:val="both"/>
        <w:rPr>
          <w:rFonts w:hint="default" w:ascii="Times New Roman" w:hAnsi="Times New Roman" w:cs="Times New Roman"/>
          <w:b/>
          <w:i/>
          <w:iCs/>
          <w:color w:val="auto"/>
          <w:sz w:val="20"/>
          <w:szCs w:val="20"/>
          <w:u w:val="single"/>
          <w:lang w:val="en-US" w:eastAsia="zh-CN"/>
        </w:rPr>
      </w:pPr>
      <w:r>
        <w:rPr>
          <w:rFonts w:hint="eastAsia" w:eastAsia="等线" w:cs="Times New Roman"/>
          <w:b/>
          <w:bCs/>
          <w:i/>
          <w:iCs/>
          <w:sz w:val="20"/>
          <w:szCs w:val="20"/>
          <w:u w:val="none"/>
          <w:lang w:val="en-US" w:eastAsia="zh-CN"/>
        </w:rPr>
        <w:t>Proposal 1:Remove this ‘L1-RSs fully-overlapped by intra-frequency SMTC occasions are not overlapped with any of the effective L3-RSs symbols’ case from R18.</w:t>
      </w:r>
    </w:p>
    <w:bookmarkEnd w:id="7"/>
    <w:p w14:paraId="6EDCB2F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3837CE61">
      <w:pPr>
        <w:spacing w:before="60"/>
        <w:rPr>
          <w:sz w:val="20"/>
          <w:szCs w:val="20"/>
        </w:rPr>
      </w:pPr>
      <w:r>
        <w:rPr>
          <w:sz w:val="20"/>
          <w:szCs w:val="20"/>
        </w:rPr>
        <w:t xml:space="preserve">In this contribution, we </w:t>
      </w:r>
      <w:r>
        <w:rPr>
          <w:rFonts w:hint="eastAsia" w:eastAsia="宋体"/>
          <w:sz w:val="20"/>
          <w:szCs w:val="20"/>
          <w:lang w:val="en-US" w:eastAsia="zh-CN"/>
        </w:rPr>
        <w:t>discuss the maintenance issues</w:t>
      </w:r>
      <w:r>
        <w:rPr>
          <w:sz w:val="20"/>
          <w:szCs w:val="20"/>
        </w:rPr>
        <w:t xml:space="preserve"> </w:t>
      </w:r>
      <w:r>
        <w:rPr>
          <w:rFonts w:hint="eastAsia" w:eastAsia="宋体"/>
          <w:sz w:val="20"/>
          <w:szCs w:val="20"/>
          <w:lang w:val="en-US" w:eastAsia="zh-CN"/>
        </w:rPr>
        <w:t>about the definition of the sharing factor between L1 and L3 measurements</w:t>
      </w:r>
      <w:r>
        <w:rPr>
          <w:sz w:val="20"/>
          <w:szCs w:val="20"/>
        </w:rPr>
        <w:t xml:space="preserve">. The </w:t>
      </w:r>
      <w:r>
        <w:rPr>
          <w:rFonts w:hint="eastAsia" w:eastAsia="宋体"/>
          <w:sz w:val="20"/>
          <w:szCs w:val="20"/>
          <w:lang w:val="en-US" w:eastAsia="zh-CN"/>
        </w:rPr>
        <w:t xml:space="preserve">observation and </w:t>
      </w:r>
      <w:r>
        <w:rPr>
          <w:sz w:val="20"/>
          <w:szCs w:val="20"/>
        </w:rPr>
        <w:t>proposals are:</w:t>
      </w:r>
      <w:bookmarkEnd w:id="5"/>
      <w:bookmarkEnd w:id="6"/>
    </w:p>
    <w:p w14:paraId="6BF220C9">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Observation 1: The serving cell timing is used as the reference timing of SSB symbols and the RSSI symbols indicated by SSB-ToMeasure and SS-RSSI-Measurement.</w:t>
      </w:r>
    </w:p>
    <w:p w14:paraId="12FF83D1">
      <w:pPr>
        <w:pageBreakBefore w:val="0"/>
        <w:widowControl/>
        <w:tabs>
          <w:tab w:val="left" w:pos="1134"/>
        </w:tabs>
        <w:kinsoku/>
        <w:wordWrap/>
        <w:topLinePunct w:val="0"/>
        <w:bidi w:val="0"/>
        <w:snapToGrid/>
        <w:spacing w:before="60" w:after="60"/>
        <w:jc w:val="both"/>
        <w:rPr>
          <w:sz w:val="20"/>
          <w:szCs w:val="20"/>
        </w:rPr>
      </w:pPr>
      <w:r>
        <w:rPr>
          <w:rFonts w:hint="eastAsia" w:eastAsia="等线" w:cs="Times New Roman"/>
          <w:b/>
          <w:bCs/>
          <w:i/>
          <w:iCs/>
          <w:sz w:val="20"/>
          <w:szCs w:val="20"/>
          <w:u w:val="none"/>
          <w:lang w:val="en-US" w:eastAsia="zh-CN"/>
        </w:rPr>
        <w:t>Proposal 1:Remove this ‘L1-RSs fully-overlapped by intra-frequency SMTC occasions are not overlapped with any of the effective L3-RSs symbols’ case from R18.</w:t>
      </w:r>
    </w:p>
    <w:p w14:paraId="23AE9C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B00858F">
      <w:pPr>
        <w:numPr>
          <w:ilvl w:val="0"/>
          <w:numId w:val="6"/>
        </w:numPr>
        <w:rPr>
          <w:rFonts w:eastAsiaTheme="minorEastAsia"/>
          <w:sz w:val="20"/>
          <w:szCs w:val="20"/>
          <w:lang w:val="en-GB"/>
        </w:rPr>
      </w:pPr>
      <w:r>
        <w:rPr>
          <w:rFonts w:hint="eastAsia" w:eastAsiaTheme="minorEastAsia"/>
          <w:sz w:val="20"/>
          <w:szCs w:val="20"/>
          <w:lang w:val="en-GB"/>
        </w:rPr>
        <w:t>R4-2</w:t>
      </w:r>
      <w:r>
        <w:rPr>
          <w:rFonts w:hint="eastAsia" w:eastAsiaTheme="minorEastAsia"/>
          <w:sz w:val="20"/>
          <w:szCs w:val="20"/>
          <w:lang w:val="en-US" w:eastAsia="zh-CN"/>
        </w:rPr>
        <w:t>508263</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CMCC</w:t>
      </w:r>
    </w:p>
    <w:sectPr>
      <w:pgSz w:w="11905" w:h="16838"/>
      <w:pgMar w:top="1440" w:right="986" w:bottom="1440" w:left="1803" w:header="851" w:footer="992" w:gutter="0"/>
      <w:cols w:space="0" w:num="1"/>
      <w:rtlGutter w:val="0"/>
      <w:docGrid w:type="lines" w:linePitch="34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6CDA2FB2"/>
    <w:multiLevelType w:val="multilevel"/>
    <w:tmpl w:val="6CDA2FB2"/>
    <w:lvl w:ilvl="0" w:tentative="0">
      <w:start w:val="1"/>
      <w:numFmt w:val="decimal"/>
      <w:pStyle w:val="58"/>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00"/>
  <w:drawingGridVerticalSpacing w:val="17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5F4B"/>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6F5AE1"/>
    <w:rsid w:val="01E525F2"/>
    <w:rsid w:val="01F14C12"/>
    <w:rsid w:val="024C3B89"/>
    <w:rsid w:val="038F6038"/>
    <w:rsid w:val="03BD00D9"/>
    <w:rsid w:val="03E85489"/>
    <w:rsid w:val="0473163D"/>
    <w:rsid w:val="04A648DD"/>
    <w:rsid w:val="04AC3A20"/>
    <w:rsid w:val="04B95A16"/>
    <w:rsid w:val="04BD7273"/>
    <w:rsid w:val="055175E9"/>
    <w:rsid w:val="057D387D"/>
    <w:rsid w:val="076A484D"/>
    <w:rsid w:val="078F19DF"/>
    <w:rsid w:val="079966F6"/>
    <w:rsid w:val="07EA14B7"/>
    <w:rsid w:val="080E7924"/>
    <w:rsid w:val="08E27BAE"/>
    <w:rsid w:val="08F06756"/>
    <w:rsid w:val="09183871"/>
    <w:rsid w:val="092A7769"/>
    <w:rsid w:val="092B1536"/>
    <w:rsid w:val="09576B62"/>
    <w:rsid w:val="09C434EF"/>
    <w:rsid w:val="0A0C6F9E"/>
    <w:rsid w:val="0A2E609D"/>
    <w:rsid w:val="0B141F31"/>
    <w:rsid w:val="0B436C77"/>
    <w:rsid w:val="0C0D22F7"/>
    <w:rsid w:val="0C1A6D8F"/>
    <w:rsid w:val="0C36196C"/>
    <w:rsid w:val="0C897387"/>
    <w:rsid w:val="0D527EFD"/>
    <w:rsid w:val="0E581497"/>
    <w:rsid w:val="0E805B23"/>
    <w:rsid w:val="0EC114B0"/>
    <w:rsid w:val="0F871B88"/>
    <w:rsid w:val="10B103CF"/>
    <w:rsid w:val="116916B3"/>
    <w:rsid w:val="12100603"/>
    <w:rsid w:val="12DC5028"/>
    <w:rsid w:val="13083778"/>
    <w:rsid w:val="133314D9"/>
    <w:rsid w:val="138B521B"/>
    <w:rsid w:val="139117AD"/>
    <w:rsid w:val="143164E7"/>
    <w:rsid w:val="14D557B0"/>
    <w:rsid w:val="152B664F"/>
    <w:rsid w:val="159F1E9B"/>
    <w:rsid w:val="160675EB"/>
    <w:rsid w:val="161956DA"/>
    <w:rsid w:val="161D3503"/>
    <w:rsid w:val="16383B80"/>
    <w:rsid w:val="1706234B"/>
    <w:rsid w:val="178C102A"/>
    <w:rsid w:val="17B24DCB"/>
    <w:rsid w:val="17BF310F"/>
    <w:rsid w:val="183B4ADC"/>
    <w:rsid w:val="18761C3F"/>
    <w:rsid w:val="18B91234"/>
    <w:rsid w:val="18C46E74"/>
    <w:rsid w:val="18D36133"/>
    <w:rsid w:val="18DA4A98"/>
    <w:rsid w:val="193A567C"/>
    <w:rsid w:val="19911272"/>
    <w:rsid w:val="1A3D26A3"/>
    <w:rsid w:val="1A3E169E"/>
    <w:rsid w:val="1AB83FCB"/>
    <w:rsid w:val="1B3020AA"/>
    <w:rsid w:val="1BB06DE1"/>
    <w:rsid w:val="1BC4639B"/>
    <w:rsid w:val="1E804FB9"/>
    <w:rsid w:val="1EE34BF3"/>
    <w:rsid w:val="1FCA4D36"/>
    <w:rsid w:val="2027184D"/>
    <w:rsid w:val="202A27D1"/>
    <w:rsid w:val="20307ABA"/>
    <w:rsid w:val="206A69BE"/>
    <w:rsid w:val="20D03448"/>
    <w:rsid w:val="210D40C9"/>
    <w:rsid w:val="211471AB"/>
    <w:rsid w:val="233124D7"/>
    <w:rsid w:val="23C61726"/>
    <w:rsid w:val="24111F00"/>
    <w:rsid w:val="242A63A6"/>
    <w:rsid w:val="244C65DE"/>
    <w:rsid w:val="246A4318"/>
    <w:rsid w:val="24AA723A"/>
    <w:rsid w:val="24C26781"/>
    <w:rsid w:val="24C811D2"/>
    <w:rsid w:val="24F611B1"/>
    <w:rsid w:val="25431D5E"/>
    <w:rsid w:val="256F3379"/>
    <w:rsid w:val="25FF7248"/>
    <w:rsid w:val="26B36FEF"/>
    <w:rsid w:val="278F1C29"/>
    <w:rsid w:val="280923C4"/>
    <w:rsid w:val="282F4A63"/>
    <w:rsid w:val="2923120B"/>
    <w:rsid w:val="295577BA"/>
    <w:rsid w:val="298B658A"/>
    <w:rsid w:val="2AED6E98"/>
    <w:rsid w:val="2B29693C"/>
    <w:rsid w:val="2B8973FB"/>
    <w:rsid w:val="2BF52C2F"/>
    <w:rsid w:val="2CF775D2"/>
    <w:rsid w:val="2D211CBE"/>
    <w:rsid w:val="2D9B49BB"/>
    <w:rsid w:val="2DC30F1D"/>
    <w:rsid w:val="2E196BB4"/>
    <w:rsid w:val="2E367CA2"/>
    <w:rsid w:val="2FFE28A3"/>
    <w:rsid w:val="307E1A5F"/>
    <w:rsid w:val="308F7505"/>
    <w:rsid w:val="30D217E7"/>
    <w:rsid w:val="312D7FBC"/>
    <w:rsid w:val="31436A0A"/>
    <w:rsid w:val="317C257E"/>
    <w:rsid w:val="317E652A"/>
    <w:rsid w:val="31F359EA"/>
    <w:rsid w:val="32ED2702"/>
    <w:rsid w:val="32F250E5"/>
    <w:rsid w:val="32F26A43"/>
    <w:rsid w:val="33122AC2"/>
    <w:rsid w:val="33545AE3"/>
    <w:rsid w:val="33A77EFC"/>
    <w:rsid w:val="33DD5A56"/>
    <w:rsid w:val="350E323B"/>
    <w:rsid w:val="351A0323"/>
    <w:rsid w:val="35B7371B"/>
    <w:rsid w:val="37681853"/>
    <w:rsid w:val="391E0DAA"/>
    <w:rsid w:val="39C2028E"/>
    <w:rsid w:val="3A556D13"/>
    <w:rsid w:val="3AD53316"/>
    <w:rsid w:val="3ADF2BBC"/>
    <w:rsid w:val="3CCF6897"/>
    <w:rsid w:val="3EDE5D8B"/>
    <w:rsid w:val="3FB20834"/>
    <w:rsid w:val="41C2316C"/>
    <w:rsid w:val="42431787"/>
    <w:rsid w:val="429546AA"/>
    <w:rsid w:val="42982B6F"/>
    <w:rsid w:val="43131FB5"/>
    <w:rsid w:val="43E02A3E"/>
    <w:rsid w:val="441E7FA8"/>
    <w:rsid w:val="45150359"/>
    <w:rsid w:val="453A4674"/>
    <w:rsid w:val="46193257"/>
    <w:rsid w:val="461B3339"/>
    <w:rsid w:val="466446CF"/>
    <w:rsid w:val="46C06704"/>
    <w:rsid w:val="47500FAB"/>
    <w:rsid w:val="47D60FEB"/>
    <w:rsid w:val="47FE2097"/>
    <w:rsid w:val="4877278A"/>
    <w:rsid w:val="48F226C6"/>
    <w:rsid w:val="48F644C0"/>
    <w:rsid w:val="4AA160C5"/>
    <w:rsid w:val="4B233F5F"/>
    <w:rsid w:val="4CA13479"/>
    <w:rsid w:val="4DA37337"/>
    <w:rsid w:val="4F420AC4"/>
    <w:rsid w:val="4FC467C6"/>
    <w:rsid w:val="4FDC37ED"/>
    <w:rsid w:val="4FFD3B16"/>
    <w:rsid w:val="501228E1"/>
    <w:rsid w:val="502C226A"/>
    <w:rsid w:val="50493617"/>
    <w:rsid w:val="504A4FDD"/>
    <w:rsid w:val="50A314E3"/>
    <w:rsid w:val="50B9589C"/>
    <w:rsid w:val="52511A16"/>
    <w:rsid w:val="53202F90"/>
    <w:rsid w:val="53434EFA"/>
    <w:rsid w:val="538D3C6F"/>
    <w:rsid w:val="53F83FD3"/>
    <w:rsid w:val="54537F9B"/>
    <w:rsid w:val="54CD03D4"/>
    <w:rsid w:val="558B6A30"/>
    <w:rsid w:val="559E607A"/>
    <w:rsid w:val="562271CB"/>
    <w:rsid w:val="56A54DFE"/>
    <w:rsid w:val="570B2511"/>
    <w:rsid w:val="574C0B47"/>
    <w:rsid w:val="57724E36"/>
    <w:rsid w:val="57C360EB"/>
    <w:rsid w:val="57E528E3"/>
    <w:rsid w:val="584D0A2B"/>
    <w:rsid w:val="58693892"/>
    <w:rsid w:val="5882606D"/>
    <w:rsid w:val="58E161DC"/>
    <w:rsid w:val="59653115"/>
    <w:rsid w:val="59791410"/>
    <w:rsid w:val="5A3555A8"/>
    <w:rsid w:val="5A7411D9"/>
    <w:rsid w:val="5A770901"/>
    <w:rsid w:val="5B330B7A"/>
    <w:rsid w:val="5B493BB4"/>
    <w:rsid w:val="5B5D09E7"/>
    <w:rsid w:val="5B904A22"/>
    <w:rsid w:val="5CB2712B"/>
    <w:rsid w:val="5DEB6EA5"/>
    <w:rsid w:val="5DF14146"/>
    <w:rsid w:val="5E0E2EDF"/>
    <w:rsid w:val="5E322F82"/>
    <w:rsid w:val="5E8657BF"/>
    <w:rsid w:val="5E8704E6"/>
    <w:rsid w:val="5F0E26CE"/>
    <w:rsid w:val="5F123686"/>
    <w:rsid w:val="605315EE"/>
    <w:rsid w:val="60807112"/>
    <w:rsid w:val="60CC27E0"/>
    <w:rsid w:val="620A7660"/>
    <w:rsid w:val="628336BE"/>
    <w:rsid w:val="628A22A3"/>
    <w:rsid w:val="64242D25"/>
    <w:rsid w:val="648051D9"/>
    <w:rsid w:val="64CA64E0"/>
    <w:rsid w:val="651D2857"/>
    <w:rsid w:val="656165BF"/>
    <w:rsid w:val="65774239"/>
    <w:rsid w:val="659A4242"/>
    <w:rsid w:val="65DC40FC"/>
    <w:rsid w:val="666221DD"/>
    <w:rsid w:val="667944E3"/>
    <w:rsid w:val="670715EC"/>
    <w:rsid w:val="67630E73"/>
    <w:rsid w:val="679B5FDC"/>
    <w:rsid w:val="679C7C07"/>
    <w:rsid w:val="68B34721"/>
    <w:rsid w:val="69BE282B"/>
    <w:rsid w:val="69C41529"/>
    <w:rsid w:val="6B590685"/>
    <w:rsid w:val="6BCF1EDD"/>
    <w:rsid w:val="6C5C2CD7"/>
    <w:rsid w:val="6C934C20"/>
    <w:rsid w:val="6CA8034F"/>
    <w:rsid w:val="6CA97F1E"/>
    <w:rsid w:val="6D5C364C"/>
    <w:rsid w:val="6F941159"/>
    <w:rsid w:val="6FA822A8"/>
    <w:rsid w:val="70721A9F"/>
    <w:rsid w:val="7139425A"/>
    <w:rsid w:val="71882E8E"/>
    <w:rsid w:val="72DC2812"/>
    <w:rsid w:val="735404A3"/>
    <w:rsid w:val="73C965F8"/>
    <w:rsid w:val="748F6C80"/>
    <w:rsid w:val="74D41FF8"/>
    <w:rsid w:val="74DE1908"/>
    <w:rsid w:val="74E1532A"/>
    <w:rsid w:val="75B92E5D"/>
    <w:rsid w:val="75C56449"/>
    <w:rsid w:val="76105BAD"/>
    <w:rsid w:val="76FA6E40"/>
    <w:rsid w:val="77447BC5"/>
    <w:rsid w:val="77574232"/>
    <w:rsid w:val="784B02D1"/>
    <w:rsid w:val="78F76A48"/>
    <w:rsid w:val="79355A99"/>
    <w:rsid w:val="793C77CF"/>
    <w:rsid w:val="79FC58DB"/>
    <w:rsid w:val="7A042E65"/>
    <w:rsid w:val="7C7B77EB"/>
    <w:rsid w:val="7C897D56"/>
    <w:rsid w:val="7CAD001B"/>
    <w:rsid w:val="7CFF1AA4"/>
    <w:rsid w:val="7D0D4989"/>
    <w:rsid w:val="7D1460F5"/>
    <w:rsid w:val="7D764118"/>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30"/>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41"/>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2"/>
    <w:qFormat/>
    <w:uiPriority w:val="0"/>
    <w:pPr>
      <w:tabs>
        <w:tab w:val="left" w:pos="720"/>
        <w:tab w:val="clear" w:pos="576"/>
      </w:tabs>
      <w:spacing w:before="120"/>
      <w:ind w:left="720" w:hanging="720"/>
      <w:outlineLvl w:val="2"/>
    </w:pPr>
    <w:rPr>
      <w:sz w:val="28"/>
    </w:rPr>
  </w:style>
  <w:style w:type="paragraph" w:styleId="5">
    <w:name w:val="heading 4"/>
    <w:basedOn w:val="4"/>
    <w:next w:val="1"/>
    <w:link w:val="43"/>
    <w:qFormat/>
    <w:uiPriority w:val="0"/>
    <w:pPr>
      <w:tabs>
        <w:tab w:val="left" w:pos="864"/>
        <w:tab w:val="clear" w:pos="720"/>
      </w:tabs>
      <w:ind w:left="864" w:hanging="864"/>
      <w:outlineLvl w:val="3"/>
    </w:pPr>
    <w:rPr>
      <w:sz w:val="20"/>
    </w:rPr>
  </w:style>
  <w:style w:type="paragraph" w:styleId="6">
    <w:name w:val="heading 5"/>
    <w:basedOn w:val="5"/>
    <w:next w:val="1"/>
    <w:link w:val="44"/>
    <w:qFormat/>
    <w:uiPriority w:val="0"/>
    <w:pPr>
      <w:tabs>
        <w:tab w:val="left" w:pos="1152"/>
        <w:tab w:val="clear" w:pos="864"/>
      </w:tabs>
      <w:ind w:left="1152" w:hanging="1152"/>
      <w:outlineLvl w:val="4"/>
    </w:pPr>
    <w:rPr>
      <w:sz w:val="22"/>
    </w:rPr>
  </w:style>
  <w:style w:type="paragraph" w:styleId="7">
    <w:name w:val="heading 7"/>
    <w:basedOn w:val="1"/>
    <w:next w:val="1"/>
    <w:link w:val="45"/>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6"/>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7"/>
    <w:qFormat/>
    <w:uiPriority w:val="0"/>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50"/>
    <w:qFormat/>
    <w:uiPriority w:val="0"/>
    <w:pPr>
      <w:keepNext/>
      <w:spacing w:after="60"/>
    </w:pPr>
    <w:rPr>
      <w:rFonts w:ascii="Courier New" w:hAnsi="Courier New" w:eastAsia="Yu Mincho Light" w:cs="Times New Roman"/>
      <w:b/>
      <w:kern w:val="20"/>
      <w:sz w:val="16"/>
      <w:lang w:val="en-US" w:eastAsia="en-US" w:bidi="ar-SA"/>
    </w:rPr>
  </w:style>
  <w:style w:type="paragraph" w:styleId="14">
    <w:name w:val="Document Map"/>
    <w:basedOn w:val="1"/>
    <w:link w:val="31"/>
    <w:semiHidden/>
    <w:unhideWhenUsed/>
    <w:qFormat/>
    <w:uiPriority w:val="99"/>
    <w:rPr>
      <w:rFonts w:ascii="Cambria Math" w:hAnsi="Cambria Math" w:eastAsia="Cambria Math"/>
      <w:sz w:val="20"/>
      <w:szCs w:val="20"/>
    </w:rPr>
  </w:style>
  <w:style w:type="paragraph" w:styleId="15">
    <w:name w:val="annotation text"/>
    <w:basedOn w:val="1"/>
    <w:link w:val="53"/>
    <w:unhideWhenUsed/>
    <w:qFormat/>
    <w:uiPriority w:val="0"/>
  </w:style>
  <w:style w:type="paragraph" w:styleId="16">
    <w:name w:val="Body Text"/>
    <w:basedOn w:val="1"/>
    <w:qFormat/>
    <w:uiPriority w:val="99"/>
    <w:rPr>
      <w:lang w:val="sv-SE" w:eastAsia="ja-JP"/>
    </w:rPr>
  </w:style>
  <w:style w:type="paragraph" w:styleId="17">
    <w:name w:val="Balloon Text"/>
    <w:basedOn w:val="1"/>
    <w:link w:val="51"/>
    <w:semiHidden/>
    <w:unhideWhenUsed/>
    <w:qFormat/>
    <w:uiPriority w:val="99"/>
    <w:rPr>
      <w:rFonts w:ascii="Cambria Math" w:hAnsi="Cambria Math" w:eastAsia="Cambria Math"/>
      <w:sz w:val="18"/>
      <w:szCs w:val="18"/>
    </w:rPr>
  </w:style>
  <w:style w:type="paragraph" w:styleId="18">
    <w:name w:val="footer"/>
    <w:basedOn w:val="1"/>
    <w:link w:val="52"/>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9"/>
    <w:qFormat/>
    <w:uiPriority w:val="99"/>
    <w:pPr>
      <w:tabs>
        <w:tab w:val="center" w:pos="4153"/>
        <w:tab w:val="right" w:pos="8306"/>
      </w:tabs>
    </w:pPr>
    <w:rPr>
      <w:rFonts w:eastAsia="Courier New"/>
      <w:sz w:val="20"/>
      <w:szCs w:val="20"/>
      <w:lang w:eastAsia="en-US"/>
    </w:rPr>
  </w:style>
  <w:style w:type="paragraph" w:styleId="20">
    <w:name w:val="List 5"/>
    <w:basedOn w:val="21"/>
    <w:qFormat/>
    <w:uiPriority w:val="0"/>
    <w:pPr>
      <w:ind w:left="1702"/>
    </w:pPr>
  </w:style>
  <w:style w:type="paragraph" w:styleId="21">
    <w:name w:val="List 4"/>
    <w:basedOn w:val="10"/>
    <w:qFormat/>
    <w:uiPriority w:val="0"/>
    <w:pPr>
      <w:ind w:left="1418"/>
    </w:pPr>
  </w:style>
  <w:style w:type="paragraph" w:styleId="22">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3">
    <w:name w:val="annotation subject"/>
    <w:basedOn w:val="15"/>
    <w:next w:val="15"/>
    <w:link w:val="54"/>
    <w:semiHidden/>
    <w:unhideWhenUsed/>
    <w:qFormat/>
    <w:uiPriority w:val="99"/>
    <w:rPr>
      <w:rFonts w:ascii="Cambria Math" w:hAnsi="Cambria Math"/>
      <w:b/>
      <w:bCs/>
      <w:sz w:val="20"/>
      <w:szCs w:val="20"/>
    </w:rPr>
  </w:style>
  <w:style w:type="table" w:styleId="25">
    <w:name w:val="Table Grid"/>
    <w:basedOn w:val="2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0"/>
    <w:rPr>
      <w:rFonts w:cs="Times New Roman"/>
      <w:color w:val="0000FF"/>
      <w:u w:val="single"/>
    </w:rPr>
  </w:style>
  <w:style w:type="character" w:styleId="28">
    <w:name w:val="annotation reference"/>
    <w:semiHidden/>
    <w:unhideWhenUsed/>
    <w:qFormat/>
    <w:uiPriority w:val="99"/>
    <w:rPr>
      <w:sz w:val="21"/>
      <w:szCs w:val="21"/>
    </w:rPr>
  </w:style>
  <w:style w:type="character" w:customStyle="1" w:styleId="29">
    <w:name w:val="页眉 字符"/>
    <w:link w:val="19"/>
    <w:qFormat/>
    <w:uiPriority w:val="99"/>
    <w:rPr>
      <w:rFonts w:ascii="Times New Roman" w:hAnsi="Times New Roman" w:eastAsia="Courier New" w:cs="Times New Roman"/>
      <w:kern w:val="0"/>
      <w:sz w:val="20"/>
      <w:szCs w:val="20"/>
      <w:lang w:eastAsia="en-US"/>
    </w:rPr>
  </w:style>
  <w:style w:type="character" w:customStyle="1" w:styleId="30">
    <w:name w:val="标题 1 字符"/>
    <w:link w:val="2"/>
    <w:qFormat/>
    <w:uiPriority w:val="0"/>
    <w:rPr>
      <w:rFonts w:ascii="Arial" w:hAnsi="Arial"/>
      <w:b/>
      <w:bCs/>
      <w:kern w:val="44"/>
      <w:sz w:val="44"/>
      <w:szCs w:val="44"/>
    </w:rPr>
  </w:style>
  <w:style w:type="character" w:customStyle="1" w:styleId="31">
    <w:name w:val="文档结构图 字符"/>
    <w:link w:val="14"/>
    <w:semiHidden/>
    <w:qFormat/>
    <w:uiPriority w:val="99"/>
    <w:rPr>
      <w:rFonts w:ascii="Cambria Math" w:eastAsia="Cambria Math"/>
    </w:rPr>
  </w:style>
  <w:style w:type="paragraph" w:customStyle="1" w:styleId="32">
    <w:name w:val="TAC"/>
    <w:basedOn w:val="33"/>
    <w:link w:val="34"/>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3">
    <w:name w:val="TAL"/>
    <w:basedOn w:val="1"/>
    <w:link w:val="62"/>
    <w:qFormat/>
    <w:uiPriority w:val="0"/>
    <w:pPr>
      <w:keepNext/>
      <w:keepLines/>
    </w:pPr>
    <w:rPr>
      <w:rFonts w:ascii="Courier New" w:hAnsi="Courier New"/>
      <w:sz w:val="18"/>
      <w:szCs w:val="20"/>
      <w:lang w:val="en-GB" w:eastAsia="en-US"/>
    </w:rPr>
  </w:style>
  <w:style w:type="character" w:customStyle="1" w:styleId="34">
    <w:name w:val="TAC Char"/>
    <w:link w:val="32"/>
    <w:qFormat/>
    <w:uiPriority w:val="0"/>
    <w:rPr>
      <w:rFonts w:ascii="Courier New" w:hAnsi="Courier New" w:eastAsia="Yu Mincho Light" w:cs="Times New Roman"/>
      <w:kern w:val="0"/>
      <w:sz w:val="18"/>
      <w:szCs w:val="18"/>
      <w:lang w:val="en-GB"/>
    </w:rPr>
  </w:style>
  <w:style w:type="paragraph" w:customStyle="1" w:styleId="35">
    <w:name w:val="TH"/>
    <w:basedOn w:val="1"/>
    <w:link w:val="36"/>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6">
    <w:name w:val="TH Char"/>
    <w:link w:val="35"/>
    <w:qFormat/>
    <w:uiPriority w:val="0"/>
    <w:rPr>
      <w:rFonts w:ascii="Courier New" w:hAnsi="Courier New" w:eastAsia="Yu Mincho Light" w:cs="Times New Roman"/>
      <w:b/>
      <w:bCs/>
      <w:kern w:val="0"/>
      <w:sz w:val="20"/>
      <w:szCs w:val="20"/>
      <w:lang w:val="en-GB"/>
    </w:rPr>
  </w:style>
  <w:style w:type="paragraph" w:customStyle="1" w:styleId="37">
    <w:name w:val="TAH"/>
    <w:basedOn w:val="32"/>
    <w:link w:val="38"/>
    <w:qFormat/>
    <w:uiPriority w:val="0"/>
    <w:rPr>
      <w:b/>
      <w:bCs/>
    </w:rPr>
  </w:style>
  <w:style w:type="character" w:customStyle="1" w:styleId="38">
    <w:name w:val="TAH Car"/>
    <w:link w:val="37"/>
    <w:qFormat/>
    <w:uiPriority w:val="0"/>
    <w:rPr>
      <w:rFonts w:ascii="Courier New" w:hAnsi="Courier New" w:eastAsia="Yu Mincho Light" w:cs="Times New Roman"/>
      <w:b/>
      <w:bCs/>
      <w:kern w:val="0"/>
      <w:sz w:val="18"/>
      <w:szCs w:val="18"/>
      <w:lang w:val="en-GB"/>
    </w:rPr>
  </w:style>
  <w:style w:type="paragraph" w:customStyle="1" w:styleId="39">
    <w:name w:val="TAN"/>
    <w:basedOn w:val="1"/>
    <w:link w:val="40"/>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40">
    <w:name w:val="TAN Char"/>
    <w:link w:val="39"/>
    <w:qFormat/>
    <w:uiPriority w:val="0"/>
    <w:rPr>
      <w:rFonts w:ascii="Courier New" w:hAnsi="Courier New" w:eastAsia="Yu Mincho Light" w:cs="Times New Roman"/>
      <w:kern w:val="0"/>
      <w:sz w:val="18"/>
      <w:szCs w:val="18"/>
      <w:lang w:val="en-GB"/>
    </w:rPr>
  </w:style>
  <w:style w:type="character" w:customStyle="1" w:styleId="41">
    <w:name w:val="标题 2 字符"/>
    <w:link w:val="3"/>
    <w:qFormat/>
    <w:uiPriority w:val="0"/>
    <w:rPr>
      <w:rFonts w:ascii="Courier New" w:hAnsi="Courier New" w:eastAsia="Courier New" w:cs="Times New Roman"/>
      <w:kern w:val="0"/>
      <w:sz w:val="32"/>
      <w:szCs w:val="20"/>
      <w:lang w:val="en-GB" w:eastAsia="en-US"/>
    </w:rPr>
  </w:style>
  <w:style w:type="character" w:customStyle="1" w:styleId="42">
    <w:name w:val="标题 3 字符"/>
    <w:link w:val="4"/>
    <w:qFormat/>
    <w:uiPriority w:val="0"/>
    <w:rPr>
      <w:rFonts w:ascii="Courier New" w:hAnsi="Courier New" w:eastAsia="Courier New" w:cs="Times New Roman"/>
      <w:kern w:val="0"/>
      <w:sz w:val="28"/>
      <w:szCs w:val="20"/>
      <w:lang w:val="en-GB" w:eastAsia="en-US"/>
    </w:rPr>
  </w:style>
  <w:style w:type="character" w:customStyle="1" w:styleId="43">
    <w:name w:val="标题 4 字符"/>
    <w:link w:val="5"/>
    <w:qFormat/>
    <w:uiPriority w:val="0"/>
    <w:rPr>
      <w:rFonts w:ascii="Courier New" w:hAnsi="Courier New" w:eastAsia="Courier New" w:cs="Times New Roman"/>
      <w:kern w:val="0"/>
      <w:szCs w:val="20"/>
      <w:lang w:val="en-GB" w:eastAsia="en-US"/>
    </w:rPr>
  </w:style>
  <w:style w:type="character" w:customStyle="1" w:styleId="44">
    <w:name w:val="标题 5 字符"/>
    <w:link w:val="6"/>
    <w:qFormat/>
    <w:uiPriority w:val="0"/>
    <w:rPr>
      <w:rFonts w:ascii="Courier New" w:hAnsi="Courier New" w:eastAsia="Courier New" w:cs="Times New Roman"/>
      <w:kern w:val="0"/>
      <w:sz w:val="22"/>
      <w:szCs w:val="20"/>
      <w:lang w:val="en-GB" w:eastAsia="en-US"/>
    </w:rPr>
  </w:style>
  <w:style w:type="character" w:customStyle="1" w:styleId="45">
    <w:name w:val="标题 7 字符"/>
    <w:link w:val="7"/>
    <w:qFormat/>
    <w:uiPriority w:val="0"/>
    <w:rPr>
      <w:rFonts w:ascii="Courier New" w:hAnsi="Courier New" w:eastAsia="Courier New" w:cs="Times New Roman"/>
      <w:kern w:val="0"/>
      <w:sz w:val="20"/>
      <w:szCs w:val="20"/>
      <w:lang w:val="en-GB" w:eastAsia="en-US"/>
    </w:rPr>
  </w:style>
  <w:style w:type="character" w:customStyle="1" w:styleId="46">
    <w:name w:val="标题 8 字符"/>
    <w:link w:val="8"/>
    <w:qFormat/>
    <w:uiPriority w:val="0"/>
    <w:rPr>
      <w:rFonts w:ascii="Courier New" w:hAnsi="Courier New" w:eastAsia="Courier New" w:cs="Times New Roman"/>
      <w:kern w:val="0"/>
      <w:sz w:val="36"/>
      <w:szCs w:val="20"/>
      <w:lang w:val="en-GB" w:eastAsia="en-US"/>
    </w:rPr>
  </w:style>
  <w:style w:type="character" w:customStyle="1" w:styleId="47">
    <w:name w:val="标题 9 字符"/>
    <w:link w:val="9"/>
    <w:qFormat/>
    <w:uiPriority w:val="0"/>
    <w:rPr>
      <w:rFonts w:ascii="Courier New" w:hAnsi="Courier New" w:eastAsia="Courier New" w:cs="Times New Roman"/>
      <w:kern w:val="0"/>
      <w:sz w:val="36"/>
      <w:szCs w:val="20"/>
      <w:lang w:val="en-GB" w:eastAsia="en-US"/>
    </w:rPr>
  </w:style>
  <w:style w:type="paragraph" w:customStyle="1" w:styleId="48">
    <w:name w:val="彩色列表 - 强调文字颜色 11"/>
    <w:basedOn w:val="1"/>
    <w:qFormat/>
    <w:uiPriority w:val="34"/>
    <w:pPr>
      <w:ind w:firstLine="420" w:firstLineChars="200"/>
    </w:pPr>
    <w:rPr>
      <w:rFonts w:ascii="Yu Mincho Light" w:hAnsi="Yu Mincho Light"/>
      <w:sz w:val="20"/>
      <w:szCs w:val="20"/>
    </w:rPr>
  </w:style>
  <w:style w:type="paragraph" w:customStyle="1" w:styleId="49">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50">
    <w:name w:val="题注 字符"/>
    <w:link w:val="13"/>
    <w:qFormat/>
    <w:uiPriority w:val="0"/>
    <w:rPr>
      <w:rFonts w:ascii="Courier New" w:hAnsi="Courier New"/>
      <w:b/>
      <w:kern w:val="20"/>
      <w:sz w:val="16"/>
      <w:lang w:eastAsia="en-US" w:bidi="ar-SA"/>
    </w:rPr>
  </w:style>
  <w:style w:type="character" w:customStyle="1" w:styleId="51">
    <w:name w:val="批注框文本 字符"/>
    <w:link w:val="17"/>
    <w:semiHidden/>
    <w:qFormat/>
    <w:uiPriority w:val="99"/>
    <w:rPr>
      <w:rFonts w:ascii="Cambria Math" w:eastAsia="Cambria Math"/>
      <w:sz w:val="18"/>
      <w:szCs w:val="18"/>
    </w:rPr>
  </w:style>
  <w:style w:type="character" w:customStyle="1" w:styleId="52">
    <w:name w:val="页脚 字符"/>
    <w:link w:val="18"/>
    <w:qFormat/>
    <w:uiPriority w:val="99"/>
    <w:rPr>
      <w:sz w:val="18"/>
      <w:szCs w:val="18"/>
    </w:rPr>
  </w:style>
  <w:style w:type="character" w:customStyle="1" w:styleId="53">
    <w:name w:val="批注文字 字符"/>
    <w:basedOn w:val="26"/>
    <w:link w:val="15"/>
    <w:qFormat/>
    <w:uiPriority w:val="0"/>
  </w:style>
  <w:style w:type="character" w:customStyle="1" w:styleId="54">
    <w:name w:val="批注主题 字符"/>
    <w:link w:val="23"/>
    <w:semiHidden/>
    <w:qFormat/>
    <w:uiPriority w:val="99"/>
    <w:rPr>
      <w:b/>
      <w:bCs/>
    </w:rPr>
  </w:style>
  <w:style w:type="paragraph" w:customStyle="1" w:styleId="55">
    <w:name w:val="B1"/>
    <w:basedOn w:val="12"/>
    <w:link w:val="56"/>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6">
    <w:name w:val="B1 Char1"/>
    <w:link w:val="55"/>
    <w:qFormat/>
    <w:uiPriority w:val="0"/>
    <w:rPr>
      <w:rFonts w:ascii="Times New Roman" w:hAnsi="Times New Roman" w:eastAsia="Times New Roman" w:cs="Times New Roman"/>
      <w:kern w:val="0"/>
      <w:sz w:val="20"/>
      <w:szCs w:val="20"/>
      <w:lang w:val="en-GB" w:eastAsia="en-US"/>
    </w:rPr>
  </w:style>
  <w:style w:type="character" w:customStyle="1" w:styleId="57">
    <w:name w:val="B1 Char"/>
    <w:qFormat/>
    <w:locked/>
    <w:uiPriority w:val="0"/>
    <w:rPr>
      <w:lang w:val="en-GB"/>
    </w:rPr>
  </w:style>
  <w:style w:type="paragraph" w:customStyle="1" w:styleId="58">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9">
    <w:name w:val="首标题"/>
    <w:qFormat/>
    <w:uiPriority w:val="0"/>
    <w:rPr>
      <w:rFonts w:ascii="Courier New" w:hAnsi="Courier New" w:eastAsia="Yu Mincho Light"/>
      <w:sz w:val="24"/>
      <w:lang w:val="en-US" w:eastAsia="zh-CN" w:bidi="ar-SA"/>
    </w:rPr>
  </w:style>
  <w:style w:type="paragraph" w:customStyle="1" w:styleId="60">
    <w:name w:val="插图题注"/>
    <w:basedOn w:val="1"/>
    <w:qFormat/>
    <w:uiPriority w:val="0"/>
    <w:pPr>
      <w:spacing w:after="180"/>
    </w:pPr>
    <w:rPr>
      <w:sz w:val="20"/>
      <w:szCs w:val="20"/>
      <w:lang w:val="en-GB" w:eastAsia="en-US"/>
    </w:rPr>
  </w:style>
  <w:style w:type="paragraph" w:customStyle="1" w:styleId="61">
    <w:name w:val="表格题注"/>
    <w:basedOn w:val="1"/>
    <w:qFormat/>
    <w:uiPriority w:val="0"/>
    <w:pPr>
      <w:spacing w:after="180"/>
    </w:pPr>
    <w:rPr>
      <w:sz w:val="20"/>
      <w:szCs w:val="20"/>
      <w:lang w:val="en-GB" w:eastAsia="en-US"/>
    </w:rPr>
  </w:style>
  <w:style w:type="character" w:customStyle="1" w:styleId="62">
    <w:name w:val="TAL Car"/>
    <w:link w:val="33"/>
    <w:qFormat/>
    <w:uiPriority w:val="0"/>
    <w:rPr>
      <w:rFonts w:ascii="Courier New" w:hAnsi="Courier New"/>
      <w:sz w:val="18"/>
      <w:lang w:val="en-GB" w:eastAsia="en-US"/>
    </w:rPr>
  </w:style>
  <w:style w:type="paragraph" w:customStyle="1" w:styleId="63">
    <w:name w:val="中等深浅网格 1 - 着色 21"/>
    <w:basedOn w:val="1"/>
    <w:link w:val="64"/>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4">
    <w:name w:val="中等深浅网格 1 - 着色 2 字符"/>
    <w:link w:val="63"/>
    <w:qFormat/>
    <w:locked/>
    <w:uiPriority w:val="34"/>
    <w:rPr>
      <w:rFonts w:ascii="Times New Roman" w:hAnsi="Times New Roman" w:eastAsia="Yu Mincho Light"/>
      <w:lang w:val="en-GB" w:eastAsia="ja-JP"/>
    </w:rPr>
  </w:style>
  <w:style w:type="character" w:customStyle="1" w:styleId="65">
    <w:name w:val="TAL Char"/>
    <w:qFormat/>
    <w:uiPriority w:val="0"/>
    <w:rPr>
      <w:rFonts w:ascii="Courier New" w:hAnsi="Courier New" w:eastAsia="Yu Mincho Light"/>
      <w:sz w:val="18"/>
      <w:lang w:val="en-GB" w:eastAsia="zh-CN"/>
    </w:rPr>
  </w:style>
  <w:style w:type="paragraph" w:customStyle="1" w:styleId="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7">
    <w:name w:val="Doc-title"/>
    <w:basedOn w:val="1"/>
    <w:next w:val="68"/>
    <w:link w:val="70"/>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8">
    <w:name w:val="Doc-text2"/>
    <w:basedOn w:val="1"/>
    <w:link w:val="69"/>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9">
    <w:name w:val="Doc-text2 Char"/>
    <w:link w:val="68"/>
    <w:qFormat/>
    <w:uiPriority w:val="0"/>
    <w:rPr>
      <w:rFonts w:ascii="Courier New" w:hAnsi="Courier New" w:eastAsia="Courier New"/>
      <w:szCs w:val="24"/>
      <w:lang w:eastAsia="en-GB"/>
    </w:rPr>
  </w:style>
  <w:style w:type="character" w:customStyle="1" w:styleId="70">
    <w:name w:val="Doc-title Char"/>
    <w:link w:val="67"/>
    <w:qFormat/>
    <w:uiPriority w:val="0"/>
    <w:rPr>
      <w:rFonts w:ascii="Courier New" w:hAnsi="Courier New" w:eastAsia="Courier New"/>
      <w:szCs w:val="24"/>
      <w:lang w:eastAsia="en-GB"/>
    </w:rPr>
  </w:style>
  <w:style w:type="paragraph" w:customStyle="1" w:styleId="71">
    <w:name w:val="EmailDiscussion2"/>
    <w:basedOn w:val="68"/>
    <w:qFormat/>
    <w:uiPriority w:val="0"/>
  </w:style>
  <w:style w:type="paragraph" w:customStyle="1" w:styleId="72">
    <w:name w:val="H6"/>
    <w:basedOn w:val="6"/>
    <w:next w:val="1"/>
    <w:link w:val="73"/>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3">
    <w:name w:val="H6 Char"/>
    <w:link w:val="72"/>
    <w:qFormat/>
    <w:uiPriority w:val="0"/>
    <w:rPr>
      <w:rFonts w:ascii="Courier New" w:hAnsi="Courier New" w:eastAsia="Yu Mincho Light"/>
      <w:lang w:val="en-GB" w:eastAsia="en-US"/>
    </w:rPr>
  </w:style>
  <w:style w:type="paragraph" w:customStyle="1" w:styleId="74">
    <w:name w:val="NO"/>
    <w:basedOn w:val="1"/>
    <w:link w:val="75"/>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5">
    <w:name w:val="NO Char1"/>
    <w:link w:val="74"/>
    <w:qFormat/>
    <w:uiPriority w:val="0"/>
    <w:rPr>
      <w:rFonts w:ascii="Times New Roman" w:hAnsi="Times New Roman" w:eastAsia="Times New Roman"/>
      <w:lang w:val="en-GB"/>
    </w:rPr>
  </w:style>
  <w:style w:type="character" w:customStyle="1" w:styleId="76">
    <w:name w:val="页眉 Char"/>
    <w:qFormat/>
    <w:uiPriority w:val="0"/>
    <w:rPr>
      <w:rFonts w:ascii="Courier New" w:hAnsi="Courier New"/>
      <w:b/>
      <w:sz w:val="18"/>
      <w:lang w:eastAsia="en-US"/>
    </w:rPr>
  </w:style>
  <w:style w:type="paragraph" w:customStyle="1" w:styleId="77">
    <w:name w:val="CR Cover Page"/>
    <w:link w:val="78"/>
    <w:qFormat/>
    <w:uiPriority w:val="0"/>
    <w:pPr>
      <w:spacing w:after="120"/>
    </w:pPr>
    <w:rPr>
      <w:rFonts w:ascii="Arial" w:hAnsi="Arial" w:eastAsia="Courier New" w:cs="Cambria Math"/>
      <w:lang w:val="en-GB" w:eastAsia="en-US" w:bidi="ar-SA"/>
    </w:rPr>
  </w:style>
  <w:style w:type="character" w:customStyle="1" w:styleId="78">
    <w:name w:val="CR Cover Page Char"/>
    <w:link w:val="77"/>
    <w:qFormat/>
    <w:uiPriority w:val="0"/>
    <w:rPr>
      <w:rFonts w:ascii="Arial" w:hAnsi="Arial" w:eastAsia="Courier New" w:cs="Cambria Math"/>
      <w:lang w:val="en-GB" w:eastAsia="en-US" w:bidi="ar-SA"/>
    </w:rPr>
  </w:style>
  <w:style w:type="paragraph" w:styleId="79">
    <w:name w:val="List Paragraph"/>
    <w:basedOn w:val="1"/>
    <w:link w:val="80"/>
    <w:qFormat/>
    <w:uiPriority w:val="34"/>
    <w:pPr>
      <w:ind w:firstLine="420" w:firstLineChars="200"/>
    </w:pPr>
    <w:rPr>
      <w:rFonts w:eastAsia="Times New Roman" w:cs="宋体"/>
    </w:rPr>
  </w:style>
  <w:style w:type="character" w:customStyle="1" w:styleId="80">
    <w:name w:val="列表段落 字符"/>
    <w:link w:val="79"/>
    <w:qFormat/>
    <w:locked/>
    <w:uiPriority w:val="34"/>
    <w:rPr>
      <w:rFonts w:ascii="Times New Roman" w:hAnsi="Times New Roman" w:eastAsia="Times New Roman" w:cs="宋体"/>
      <w:sz w:val="24"/>
      <w:szCs w:val="24"/>
    </w:rPr>
  </w:style>
  <w:style w:type="paragraph" w:customStyle="1" w:styleId="81">
    <w:name w:val="Revision"/>
    <w:hidden/>
    <w:qFormat/>
    <w:uiPriority w:val="62"/>
    <w:rPr>
      <w:rFonts w:ascii="Times New Roman" w:hAnsi="Times New Roman" w:eastAsia="Yu Mincho Light" w:cs="Times New Roman"/>
      <w:sz w:val="24"/>
      <w:szCs w:val="24"/>
      <w:lang w:val="en-US" w:eastAsia="zh-CN" w:bidi="ar-SA"/>
    </w:rPr>
  </w:style>
  <w:style w:type="paragraph" w:customStyle="1" w:styleId="82">
    <w:name w:val="B2"/>
    <w:basedOn w:val="11"/>
    <w:qFormat/>
    <w:uiPriority w:val="0"/>
  </w:style>
  <w:style w:type="paragraph" w:customStyle="1" w:styleId="83">
    <w:name w:val="B3"/>
    <w:basedOn w:val="10"/>
    <w:qFormat/>
    <w:uiPriority w:val="0"/>
  </w:style>
  <w:style w:type="paragraph" w:customStyle="1" w:styleId="84">
    <w:name w:val="Proposal"/>
    <w:basedOn w:val="16"/>
    <w:qFormat/>
    <w:uiPriority w:val="0"/>
    <w:pPr>
      <w:numPr>
        <w:ilvl w:val="0"/>
        <w:numId w:val="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B6"/>
    <w:basedOn w:val="86"/>
    <w:qFormat/>
    <w:uiPriority w:val="0"/>
    <w:pPr>
      <w:ind w:left="1985"/>
    </w:pPr>
    <w:rPr>
      <w:lang w:val="en-US"/>
    </w:rPr>
  </w:style>
  <w:style w:type="paragraph" w:customStyle="1" w:styleId="88">
    <w:name w:val="B7"/>
    <w:basedOn w:val="87"/>
    <w:qFormat/>
    <w:uiPriority w:val="0"/>
    <w:pPr>
      <w:ind w:left="226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2366</Words>
  <Characters>13491</Characters>
  <Lines>112</Lines>
  <Paragraphs>31</Paragraphs>
  <TotalTime>26</TotalTime>
  <ScaleCrop>false</ScaleCrop>
  <LinksUpToDate>false</LinksUpToDate>
  <CharactersWithSpaces>15826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2025-08-15T03:05:12Z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1B5FA489B6684E2C9426DDD8CDDDA00C</vt:lpwstr>
  </property>
</Properties>
</file>